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7D7D2" w14:textId="511A65D0" w:rsidR="00184DB0" w:rsidRPr="00AB425E" w:rsidRDefault="003A40CB" w:rsidP="003A40CB">
      <w:pPr>
        <w:jc w:val="center"/>
        <w:rPr>
          <w:b/>
          <w:bCs/>
          <w:sz w:val="24"/>
          <w:szCs w:val="24"/>
          <w:lang w:val="pl-PL"/>
        </w:rPr>
      </w:pPr>
      <w:bookmarkStart w:id="0" w:name="_GoBack"/>
      <w:bookmarkEnd w:id="0"/>
      <w:r w:rsidRPr="00AB425E">
        <w:rPr>
          <w:b/>
          <w:bCs/>
          <w:sz w:val="24"/>
          <w:szCs w:val="24"/>
          <w:lang w:val="pl-PL"/>
        </w:rPr>
        <w:t>SZCZEGÓŁOWY OPIS PRZEDMIOTU ZAMÓWIENIA</w:t>
      </w:r>
    </w:p>
    <w:p w14:paraId="178C2322" w14:textId="0413E2E6" w:rsidR="003A40CB" w:rsidRDefault="003A40CB" w:rsidP="003A40CB">
      <w:pPr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3A40CB">
        <w:rPr>
          <w:rFonts w:asciiTheme="minorHAnsi" w:eastAsia="Times New Roman" w:hAnsiTheme="minorHAnsi" w:cstheme="minorHAnsi"/>
          <w:lang w:val="pl-PL" w:eastAsia="pl-PL"/>
        </w:rPr>
        <w:t xml:space="preserve">Przedmiotem zamówienia jest dostawa fabrycznie nowego, zautomatyzowanego analizatora chemisorpcji i sorpcji fizycznej gazów </w:t>
      </w:r>
      <w:r>
        <w:rPr>
          <w:rFonts w:asciiTheme="minorHAnsi" w:eastAsia="Times New Roman" w:hAnsiTheme="minorHAnsi" w:cstheme="minorHAnsi"/>
          <w:lang w:val="pl-PL" w:eastAsia="pl-PL"/>
        </w:rPr>
        <w:t xml:space="preserve">i par </w:t>
      </w:r>
      <w:r w:rsidRPr="003A40CB">
        <w:rPr>
          <w:rFonts w:asciiTheme="minorHAnsi" w:eastAsia="Times New Roman" w:hAnsiTheme="minorHAnsi" w:cstheme="minorHAnsi"/>
          <w:lang w:val="pl-PL" w:eastAsia="pl-PL"/>
        </w:rPr>
        <w:t>przeznaczonego do</w:t>
      </w:r>
      <w:r>
        <w:rPr>
          <w:rFonts w:asciiTheme="minorHAnsi" w:eastAsia="Times New Roman" w:hAnsiTheme="minorHAnsi" w:cstheme="minorHAnsi"/>
          <w:lang w:val="pl-PL" w:eastAsia="pl-PL"/>
        </w:rPr>
        <w:t xml:space="preserve"> p</w:t>
      </w:r>
      <w:r w:rsidR="0076600C">
        <w:rPr>
          <w:rFonts w:asciiTheme="minorHAnsi" w:eastAsia="Times New Roman" w:hAnsiTheme="minorHAnsi" w:cstheme="minorHAnsi"/>
          <w:lang w:val="pl-PL" w:eastAsia="pl-PL"/>
        </w:rPr>
        <w:t>omiarów powierzchni właściwej i </w:t>
      </w:r>
      <w:r>
        <w:rPr>
          <w:rFonts w:asciiTheme="minorHAnsi" w:eastAsia="Times New Roman" w:hAnsiTheme="minorHAnsi" w:cstheme="minorHAnsi"/>
          <w:lang w:val="pl-PL" w:eastAsia="pl-PL"/>
        </w:rPr>
        <w:t xml:space="preserve">porowatości </w:t>
      </w:r>
      <w:r w:rsidRPr="003A40CB">
        <w:rPr>
          <w:rFonts w:asciiTheme="minorHAnsi" w:eastAsia="Times New Roman" w:hAnsiTheme="minorHAnsi" w:cstheme="minorHAnsi"/>
          <w:lang w:val="pl-PL" w:eastAsia="pl-PL"/>
        </w:rPr>
        <w:t xml:space="preserve">ciał stałych o silnie i słabo rozwiniętej powierzchni (proszków, granulatów i innych materiałów).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4105"/>
      </w:tblGrid>
      <w:tr w:rsidR="00DA3C61" w14:paraId="03133A75" w14:textId="77777777" w:rsidTr="00E01DD1">
        <w:tc>
          <w:tcPr>
            <w:tcW w:w="2122" w:type="dxa"/>
            <w:vAlign w:val="center"/>
          </w:tcPr>
          <w:p w14:paraId="117443B8" w14:textId="79A22CE9" w:rsidR="00DA3C61" w:rsidRPr="00AB425E" w:rsidRDefault="00DA3C61" w:rsidP="00DA3C61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  <w:r w:rsidRPr="00AB42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  <w:t>Element</w:t>
            </w:r>
          </w:p>
        </w:tc>
        <w:tc>
          <w:tcPr>
            <w:tcW w:w="2835" w:type="dxa"/>
            <w:vAlign w:val="center"/>
          </w:tcPr>
          <w:p w14:paraId="3456AF01" w14:textId="0090DF86" w:rsidR="00DA3C61" w:rsidRPr="00AB425E" w:rsidRDefault="00DA3C61" w:rsidP="00DA3C61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  <w:r w:rsidRPr="00AB42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  <w:t>Parametr</w:t>
            </w:r>
          </w:p>
        </w:tc>
        <w:tc>
          <w:tcPr>
            <w:tcW w:w="4105" w:type="dxa"/>
            <w:vAlign w:val="center"/>
          </w:tcPr>
          <w:p w14:paraId="7C8485F0" w14:textId="622962C6" w:rsidR="00DA3C61" w:rsidRPr="00AB425E" w:rsidRDefault="00DA3C61" w:rsidP="00DA3C61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  <w:r w:rsidRPr="00AB42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  <w:t>Wymagania</w:t>
            </w:r>
          </w:p>
        </w:tc>
      </w:tr>
      <w:tr w:rsidR="00FA152E" w14:paraId="3994F235" w14:textId="77777777" w:rsidTr="00544BAC">
        <w:tc>
          <w:tcPr>
            <w:tcW w:w="2122" w:type="dxa"/>
            <w:vMerge w:val="restart"/>
          </w:tcPr>
          <w:p w14:paraId="13B64E22" w14:textId="233AD980" w:rsidR="00FA152E" w:rsidRPr="00AB425E" w:rsidRDefault="00FA152E" w:rsidP="003B580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  <w:r w:rsidRPr="00AB42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  <w:t>Aparat podstawowy</w:t>
            </w:r>
          </w:p>
        </w:tc>
        <w:tc>
          <w:tcPr>
            <w:tcW w:w="2835" w:type="dxa"/>
            <w:vAlign w:val="center"/>
          </w:tcPr>
          <w:p w14:paraId="53E02799" w14:textId="35E3ABFB" w:rsidR="00FA152E" w:rsidRPr="00AB425E" w:rsidRDefault="00FA152E" w:rsidP="00544BA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Zakres mierzonych wielkości porów</w:t>
            </w:r>
          </w:p>
        </w:tc>
        <w:tc>
          <w:tcPr>
            <w:tcW w:w="4105" w:type="dxa"/>
            <w:vAlign w:val="center"/>
          </w:tcPr>
          <w:p w14:paraId="595C00BB" w14:textId="5016767F" w:rsidR="00FA152E" w:rsidRPr="00AB425E" w:rsidRDefault="0076600C" w:rsidP="00544BA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</w:t>
            </w:r>
            <w:r w:rsidR="00720113"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 </w:t>
            </w:r>
            <w:r w:rsidR="00FA152E"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3,5Å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4B475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 5000 Å</w:t>
            </w:r>
          </w:p>
        </w:tc>
      </w:tr>
      <w:tr w:rsidR="00FA152E" w:rsidRPr="004B475B" w14:paraId="53369E1E" w14:textId="77777777" w:rsidTr="00544BAC">
        <w:tc>
          <w:tcPr>
            <w:tcW w:w="2122" w:type="dxa"/>
            <w:vMerge/>
          </w:tcPr>
          <w:p w14:paraId="221CA0CA" w14:textId="77777777" w:rsidR="00FA152E" w:rsidRPr="00AB425E" w:rsidRDefault="00FA152E" w:rsidP="003B580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  <w:vAlign w:val="center"/>
          </w:tcPr>
          <w:p w14:paraId="3F512E70" w14:textId="77326E74" w:rsidR="00FA152E" w:rsidRPr="00AB425E" w:rsidRDefault="00FA152E" w:rsidP="00544BA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Zakres mierzonej powierzchni właściwej</w:t>
            </w:r>
          </w:p>
        </w:tc>
        <w:tc>
          <w:tcPr>
            <w:tcW w:w="4105" w:type="dxa"/>
            <w:vAlign w:val="center"/>
          </w:tcPr>
          <w:p w14:paraId="286F5C5A" w14:textId="5E754153" w:rsidR="00FA152E" w:rsidRPr="00AB425E" w:rsidRDefault="00521A43" w:rsidP="00544BA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min. 0,01m</w:t>
            </w:r>
            <w:r w:rsidRPr="00AB425E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pl-PL"/>
              </w:rPr>
              <w:t>2</w:t>
            </w: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/g – powyżej 3000 m</w:t>
            </w:r>
            <w:r w:rsidRPr="00AB425E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pl-PL"/>
              </w:rPr>
              <w:t>2</w:t>
            </w: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/g (azot)</w:t>
            </w:r>
          </w:p>
        </w:tc>
      </w:tr>
      <w:tr w:rsidR="00FA152E" w14:paraId="70984215" w14:textId="77777777" w:rsidTr="00544BAC">
        <w:tc>
          <w:tcPr>
            <w:tcW w:w="2122" w:type="dxa"/>
            <w:vMerge/>
          </w:tcPr>
          <w:p w14:paraId="715CD24B" w14:textId="77777777" w:rsidR="00FA152E" w:rsidRPr="00AB425E" w:rsidRDefault="00FA152E" w:rsidP="003B580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  <w:vAlign w:val="center"/>
          </w:tcPr>
          <w:p w14:paraId="10FC6895" w14:textId="2AF6BF53" w:rsidR="00FA152E" w:rsidRPr="00AB425E" w:rsidRDefault="00720113" w:rsidP="00544BA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proofErr w:type="spellStart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>Wielkość</w:t>
            </w:r>
            <w:proofErr w:type="spellEnd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>mierzonych</w:t>
            </w:r>
            <w:proofErr w:type="spellEnd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>objętości</w:t>
            </w:r>
            <w:proofErr w:type="spellEnd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>mikroporów</w:t>
            </w:r>
            <w:proofErr w:type="spellEnd"/>
          </w:p>
        </w:tc>
        <w:tc>
          <w:tcPr>
            <w:tcW w:w="4105" w:type="dxa"/>
            <w:vAlign w:val="center"/>
          </w:tcPr>
          <w:p w14:paraId="3E44CDCF" w14:textId="753B4C6E" w:rsidR="00FA152E" w:rsidRPr="00AB425E" w:rsidRDefault="00720113" w:rsidP="00544BA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</w:rPr>
              <w:t>od 0,00001 cm</w:t>
            </w:r>
            <w:r w:rsidRPr="00AB425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AB425E">
              <w:rPr>
                <w:rFonts w:asciiTheme="minorHAnsi" w:hAnsiTheme="minorHAnsi" w:cstheme="minorHAnsi"/>
                <w:sz w:val="20"/>
                <w:szCs w:val="20"/>
              </w:rPr>
              <w:t>/g</w:t>
            </w:r>
          </w:p>
        </w:tc>
      </w:tr>
      <w:tr w:rsidR="00521A43" w14:paraId="26901FA4" w14:textId="77777777" w:rsidTr="00544BAC">
        <w:tc>
          <w:tcPr>
            <w:tcW w:w="2122" w:type="dxa"/>
            <w:vMerge/>
          </w:tcPr>
          <w:p w14:paraId="1C2C0F33" w14:textId="77777777" w:rsidR="00521A43" w:rsidRPr="00AB425E" w:rsidRDefault="00521A43" w:rsidP="00521A4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  <w:vAlign w:val="center"/>
          </w:tcPr>
          <w:p w14:paraId="614FDCD6" w14:textId="7393FFF2" w:rsidR="00521A43" w:rsidRPr="00AB425E" w:rsidRDefault="00521A43" w:rsidP="00544BA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Dokładność systemu analizy</w:t>
            </w:r>
          </w:p>
        </w:tc>
        <w:tc>
          <w:tcPr>
            <w:tcW w:w="4105" w:type="dxa"/>
            <w:vAlign w:val="center"/>
          </w:tcPr>
          <w:p w14:paraId="4FD7D841" w14:textId="0FCED18A" w:rsidR="00521A43" w:rsidRPr="00AB425E" w:rsidRDefault="00521A43" w:rsidP="00544BAC">
            <w:pPr>
              <w:spacing w:after="0" w:line="240" w:lineRule="auto"/>
              <w:ind w:left="-108" w:firstLine="14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0,15 % lub lepiej</w:t>
            </w:r>
          </w:p>
        </w:tc>
      </w:tr>
      <w:tr w:rsidR="00CA7F0E" w14:paraId="325E671C" w14:textId="77777777" w:rsidTr="00EF13EE">
        <w:tc>
          <w:tcPr>
            <w:tcW w:w="2122" w:type="dxa"/>
            <w:vMerge/>
          </w:tcPr>
          <w:p w14:paraId="021A8AE2" w14:textId="77777777" w:rsidR="00CA7F0E" w:rsidRPr="00AB425E" w:rsidRDefault="00CA7F0E" w:rsidP="00521A4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  <w:vMerge w:val="restart"/>
          </w:tcPr>
          <w:p w14:paraId="4F4EAB56" w14:textId="0440DA25" w:rsidR="00CA7F0E" w:rsidRPr="00AB425E" w:rsidRDefault="00CA7F0E" w:rsidP="00EF13E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AB425E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Ciśnienie</w:t>
            </w:r>
          </w:p>
        </w:tc>
        <w:tc>
          <w:tcPr>
            <w:tcW w:w="4105" w:type="dxa"/>
            <w:vAlign w:val="center"/>
          </w:tcPr>
          <w:p w14:paraId="180FD4AB" w14:textId="122A2625" w:rsidR="00CA7F0E" w:rsidRPr="00AB425E" w:rsidRDefault="00CA7F0E" w:rsidP="00544BA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proofErr w:type="spellStart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>Minimalna</w:t>
            </w:r>
            <w:proofErr w:type="spellEnd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>wartość</w:t>
            </w:r>
            <w:proofErr w:type="spellEnd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>: 10</w:t>
            </w:r>
            <w:r w:rsidRPr="00AB425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-9</w:t>
            </w:r>
            <w:r w:rsidRPr="00AB425E">
              <w:rPr>
                <w:rFonts w:asciiTheme="minorHAnsi" w:hAnsiTheme="minorHAnsi" w:cstheme="minorHAnsi"/>
                <w:sz w:val="20"/>
                <w:szCs w:val="20"/>
              </w:rPr>
              <w:t xml:space="preserve"> mmHg</w:t>
            </w:r>
          </w:p>
        </w:tc>
      </w:tr>
      <w:tr w:rsidR="00CA7F0E" w14:paraId="284686FE" w14:textId="77777777" w:rsidTr="00544BAC">
        <w:tc>
          <w:tcPr>
            <w:tcW w:w="2122" w:type="dxa"/>
            <w:vMerge/>
          </w:tcPr>
          <w:p w14:paraId="6AA65F7B" w14:textId="77777777" w:rsidR="00CA7F0E" w:rsidRPr="00AB425E" w:rsidRDefault="00CA7F0E" w:rsidP="00521A4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  <w:vMerge/>
            <w:vAlign w:val="center"/>
          </w:tcPr>
          <w:p w14:paraId="0BA9E860" w14:textId="77777777" w:rsidR="00CA7F0E" w:rsidRPr="00AB425E" w:rsidRDefault="00CA7F0E" w:rsidP="00544BA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105" w:type="dxa"/>
            <w:vAlign w:val="center"/>
          </w:tcPr>
          <w:p w14:paraId="10445390" w14:textId="1A9A32DE" w:rsidR="00CA7F0E" w:rsidRPr="00AB425E" w:rsidRDefault="00CA7F0E" w:rsidP="00544BA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proofErr w:type="spellStart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>Dokładność</w:t>
            </w:r>
            <w:proofErr w:type="spellEnd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>pomiaru</w:t>
            </w:r>
            <w:proofErr w:type="spellEnd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>ciśnienia</w:t>
            </w:r>
            <w:proofErr w:type="spellEnd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 xml:space="preserve">: 0,01 </w:t>
            </w:r>
            <w:proofErr w:type="spellStart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>μmHg</w:t>
            </w:r>
            <w:proofErr w:type="spellEnd"/>
          </w:p>
        </w:tc>
      </w:tr>
      <w:tr w:rsidR="00CA7F0E" w14:paraId="6397C3CC" w14:textId="77777777" w:rsidTr="00544BAC">
        <w:tc>
          <w:tcPr>
            <w:tcW w:w="2122" w:type="dxa"/>
            <w:vMerge/>
          </w:tcPr>
          <w:p w14:paraId="34B58349" w14:textId="77777777" w:rsidR="00CA7F0E" w:rsidRPr="00AB425E" w:rsidRDefault="00CA7F0E" w:rsidP="00521A4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  <w:vMerge/>
            <w:vAlign w:val="center"/>
          </w:tcPr>
          <w:p w14:paraId="327A4629" w14:textId="77777777" w:rsidR="00CA7F0E" w:rsidRPr="00AB425E" w:rsidRDefault="00CA7F0E" w:rsidP="00544BA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105" w:type="dxa"/>
            <w:vAlign w:val="center"/>
          </w:tcPr>
          <w:p w14:paraId="17E2670B" w14:textId="6D42386E" w:rsidR="00CA7F0E" w:rsidRPr="00AB425E" w:rsidRDefault="00CA7F0E" w:rsidP="00544BA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proofErr w:type="spellStart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>Długookresowy</w:t>
            </w:r>
            <w:proofErr w:type="spellEnd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>dryf</w:t>
            </w:r>
            <w:proofErr w:type="spellEnd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>ciśnienia</w:t>
            </w:r>
            <w:proofErr w:type="spellEnd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 xml:space="preserve">: 0,01 </w:t>
            </w:r>
            <w:proofErr w:type="spellStart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>μmHg</w:t>
            </w:r>
            <w:proofErr w:type="spellEnd"/>
          </w:p>
        </w:tc>
      </w:tr>
      <w:tr w:rsidR="00CA7F0E" w:rsidRPr="004B475B" w14:paraId="6740D229" w14:textId="77777777" w:rsidTr="00544BAC">
        <w:tc>
          <w:tcPr>
            <w:tcW w:w="2122" w:type="dxa"/>
            <w:vMerge/>
          </w:tcPr>
          <w:p w14:paraId="503F48CB" w14:textId="77777777" w:rsidR="00CA7F0E" w:rsidRPr="00AB425E" w:rsidRDefault="00CA7F0E" w:rsidP="00521A4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  <w:vMerge/>
            <w:vAlign w:val="center"/>
          </w:tcPr>
          <w:p w14:paraId="26D86BDD" w14:textId="77777777" w:rsidR="00CA7F0E" w:rsidRPr="00AB425E" w:rsidRDefault="00CA7F0E" w:rsidP="00544BA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105" w:type="dxa"/>
            <w:vAlign w:val="center"/>
          </w:tcPr>
          <w:p w14:paraId="57AEC823" w14:textId="5D3C42D0" w:rsidR="00CA7F0E" w:rsidRPr="00AB425E" w:rsidRDefault="00CA7F0E" w:rsidP="00544BA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Stosunek sygnału do szumu układu pomiaru ciśnienia: 1:100 000</w:t>
            </w:r>
          </w:p>
        </w:tc>
      </w:tr>
      <w:tr w:rsidR="00CA7F0E" w:rsidRPr="004B475B" w14:paraId="5548478B" w14:textId="77777777" w:rsidTr="00544BAC">
        <w:tc>
          <w:tcPr>
            <w:tcW w:w="2122" w:type="dxa"/>
            <w:vMerge/>
          </w:tcPr>
          <w:p w14:paraId="1C3627EA" w14:textId="77777777" w:rsidR="00CA7F0E" w:rsidRPr="00AB425E" w:rsidRDefault="00CA7F0E" w:rsidP="00521A4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  <w:vMerge/>
            <w:vAlign w:val="center"/>
          </w:tcPr>
          <w:p w14:paraId="64A60AAE" w14:textId="77777777" w:rsidR="00CA7F0E" w:rsidRPr="00AB425E" w:rsidRDefault="00CA7F0E" w:rsidP="00544BA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105" w:type="dxa"/>
            <w:vAlign w:val="center"/>
          </w:tcPr>
          <w:p w14:paraId="50F4AAC6" w14:textId="755D1743" w:rsidR="00CA7F0E" w:rsidRPr="00AB425E" w:rsidRDefault="00CA7F0E" w:rsidP="00CA7F0E">
            <w:pPr>
              <w:spacing w:after="0" w:line="240" w:lineRule="auto"/>
              <w:ind w:left="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Zakres ciśnień względnych P/P</w:t>
            </w:r>
            <w:r w:rsidRPr="00AB425E">
              <w:rPr>
                <w:rFonts w:asciiTheme="minorHAnsi" w:hAnsiTheme="minorHAnsi" w:cstheme="minorHAnsi"/>
                <w:sz w:val="20"/>
                <w:szCs w:val="20"/>
                <w:vertAlign w:val="subscript"/>
                <w:lang w:val="pl-PL"/>
              </w:rPr>
              <w:t>o</w:t>
            </w: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: od 10</w:t>
            </w:r>
            <w:r w:rsidRPr="00AB425E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pl-PL"/>
              </w:rPr>
              <w:t>-12</w:t>
            </w: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do 1,0 dla N</w:t>
            </w:r>
            <w:r w:rsidRPr="00AB425E">
              <w:rPr>
                <w:rFonts w:asciiTheme="minorHAnsi" w:hAnsiTheme="minorHAnsi" w:cstheme="minorHAnsi"/>
                <w:sz w:val="20"/>
                <w:szCs w:val="20"/>
                <w:vertAlign w:val="subscript"/>
                <w:lang w:val="pl-PL"/>
              </w:rPr>
              <w:t>2</w:t>
            </w: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(zależnie od adsorbatu i temperatury)</w:t>
            </w:r>
          </w:p>
        </w:tc>
      </w:tr>
      <w:tr w:rsidR="00CA7F0E" w:rsidRPr="004B475B" w14:paraId="3554D4CC" w14:textId="77777777" w:rsidTr="00544BAC">
        <w:tc>
          <w:tcPr>
            <w:tcW w:w="2122" w:type="dxa"/>
            <w:vMerge/>
          </w:tcPr>
          <w:p w14:paraId="1474A36D" w14:textId="77777777" w:rsidR="00CA7F0E" w:rsidRPr="00AB425E" w:rsidRDefault="00CA7F0E" w:rsidP="00521A4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  <w:vMerge/>
            <w:vAlign w:val="center"/>
          </w:tcPr>
          <w:p w14:paraId="59AE49AA" w14:textId="77777777" w:rsidR="00CA7F0E" w:rsidRPr="00AB425E" w:rsidRDefault="00CA7F0E" w:rsidP="00544BA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105" w:type="dxa"/>
            <w:vAlign w:val="center"/>
          </w:tcPr>
          <w:p w14:paraId="0E4CDA06" w14:textId="626609E9" w:rsidR="00CA7F0E" w:rsidRPr="00AB425E" w:rsidRDefault="00CA7F0E" w:rsidP="00CA7F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Czujniki ciśnienia/próżni dla stacji analitycznej (wbudowane) o zakresie/rozdzielczości co najmniej: 0-</w:t>
            </w:r>
            <w:smartTag w:uri="urn:schemas-microsoft-com:office:smarttags" w:element="metricconverter">
              <w:smartTagPr>
                <w:attr w:name="ProductID" w:val="1000 mm"/>
              </w:smartTagPr>
              <w:r w:rsidRPr="00AB425E"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t>1000 mm</w:t>
              </w:r>
            </w:smartTag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Hg/10</w:t>
            </w:r>
            <w:r w:rsidRPr="00AB425E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pl-PL"/>
              </w:rPr>
              <w:t>-3</w:t>
            </w: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mmHg, 0-10 mmHg/10</w:t>
            </w:r>
            <w:r w:rsidRPr="00AB425E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pl-PL"/>
              </w:rPr>
              <w:t>-5</w:t>
            </w: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mmHg, 0-0,1 mmHg/10</w:t>
            </w:r>
            <w:r w:rsidRPr="00AB425E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pl-PL"/>
              </w:rPr>
              <w:t>-7</w:t>
            </w: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mmHg</w:t>
            </w:r>
          </w:p>
        </w:tc>
      </w:tr>
      <w:tr w:rsidR="0036682E" w:rsidRPr="004B475B" w14:paraId="56F5E19E" w14:textId="77777777" w:rsidTr="00607776">
        <w:tc>
          <w:tcPr>
            <w:tcW w:w="2122" w:type="dxa"/>
            <w:vMerge/>
          </w:tcPr>
          <w:p w14:paraId="32F41DE7" w14:textId="77777777" w:rsidR="0036682E" w:rsidRPr="00AB425E" w:rsidRDefault="0036682E" w:rsidP="0036682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</w:tcPr>
          <w:p w14:paraId="5A2BE3AF" w14:textId="41DFA61C" w:rsidR="0036682E" w:rsidRPr="00AB425E" w:rsidRDefault="0036682E" w:rsidP="003668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proofErr w:type="spellStart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>Czujnik</w:t>
            </w:r>
            <w:proofErr w:type="spellEnd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>ciśnienia</w:t>
            </w:r>
            <w:proofErr w:type="spellEnd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>pary</w:t>
            </w:r>
            <w:proofErr w:type="spellEnd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>nasyconej</w:t>
            </w:r>
            <w:proofErr w:type="spellEnd"/>
          </w:p>
        </w:tc>
        <w:tc>
          <w:tcPr>
            <w:tcW w:w="4105" w:type="dxa"/>
          </w:tcPr>
          <w:p w14:paraId="60CA9653" w14:textId="0BC38D94" w:rsidR="0036682E" w:rsidRPr="00AB425E" w:rsidRDefault="0036682E" w:rsidP="00672A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Zapewnienie możliwości mierzenia na bieżąco, wprowadzania przez użytkownika lub obliczenia ciśnienie nasycenia. Rurka do pomiaru ciśnienia nasycenia</w:t>
            </w:r>
            <w:r w:rsidR="00672A6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musi</w:t>
            </w: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być  otoczona płaszczem izotermicznym tego samego typu, co otaczający probówkę pomiarową.  </w:t>
            </w:r>
          </w:p>
        </w:tc>
      </w:tr>
      <w:tr w:rsidR="0036682E" w:rsidRPr="004B475B" w14:paraId="00E0A039" w14:textId="77777777" w:rsidTr="00544BAC">
        <w:tc>
          <w:tcPr>
            <w:tcW w:w="2122" w:type="dxa"/>
            <w:vMerge/>
          </w:tcPr>
          <w:p w14:paraId="6619EB7A" w14:textId="77777777" w:rsidR="0036682E" w:rsidRPr="00AB425E" w:rsidRDefault="0036682E" w:rsidP="0036682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</w:tcPr>
          <w:p w14:paraId="0B6B9A6A" w14:textId="6F3260D8" w:rsidR="0036682E" w:rsidRPr="00AB425E" w:rsidRDefault="0036682E" w:rsidP="003668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</w:rPr>
              <w:t xml:space="preserve">System </w:t>
            </w:r>
            <w:proofErr w:type="spellStart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>wytwarzania</w:t>
            </w:r>
            <w:proofErr w:type="spellEnd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>próżni</w:t>
            </w:r>
            <w:proofErr w:type="spellEnd"/>
          </w:p>
        </w:tc>
        <w:tc>
          <w:tcPr>
            <w:tcW w:w="4105" w:type="dxa"/>
            <w:shd w:val="clear" w:color="auto" w:fill="FFFFFF" w:themeFill="background1"/>
            <w:vAlign w:val="center"/>
          </w:tcPr>
          <w:p w14:paraId="3A0F87FC" w14:textId="6DB0205F" w:rsidR="0036682E" w:rsidRPr="00AB425E" w:rsidRDefault="0036682E" w:rsidP="003668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Bezolejowy, wyposażony w  dwa niezależne zestawy pomp odrębnie dla stacji pomiarowej oraz stacji odgazowania próbek</w:t>
            </w:r>
            <w:r w:rsidRPr="00AB425E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  <w:lang w:val="pl-PL"/>
              </w:rPr>
              <w:t>; pompy membranowe i turbomolekularne o końcowej próżni 3,8 x 10-</w:t>
            </w:r>
            <w:r w:rsidRPr="00AB425E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  <w:vertAlign w:val="superscript"/>
                <w:lang w:val="pl-PL"/>
              </w:rPr>
              <w:t>9</w:t>
            </w:r>
            <w:r w:rsidRPr="00AB425E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  <w:lang w:val="pl-PL"/>
              </w:rPr>
              <w:t xml:space="preserve"> mmHg  wyposażone w dwa </w:t>
            </w:r>
            <w:r w:rsidRPr="004B475B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  <w:lang w:val="pl-PL"/>
              </w:rPr>
              <w:t>system</w:t>
            </w:r>
            <w:r w:rsidR="00A1122B" w:rsidRPr="004B475B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  <w:lang w:val="pl-PL"/>
              </w:rPr>
              <w:t>y</w:t>
            </w:r>
            <w:r w:rsidRPr="004B475B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  <w:lang w:val="pl-PL"/>
              </w:rPr>
              <w:t xml:space="preserve"> wym</w:t>
            </w:r>
            <w:r w:rsidR="00A1122B" w:rsidRPr="004B475B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  <w:lang w:val="pl-PL"/>
              </w:rPr>
              <w:t>rażania odrębnie dla stacji pomiarowej</w:t>
            </w:r>
            <w:r w:rsidRPr="004B475B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  <w:lang w:val="pl-PL"/>
              </w:rPr>
              <w:t xml:space="preserve"> i stacji</w:t>
            </w:r>
            <w:r w:rsidRPr="00AB425E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  <w:lang w:val="pl-PL"/>
              </w:rPr>
              <w:t xml:space="preserve"> odgazowania w celu zapobiegnięcia zanieczyszczeniu układów przed wilgocią.</w:t>
            </w:r>
          </w:p>
        </w:tc>
      </w:tr>
      <w:tr w:rsidR="0036682E" w:rsidRPr="004B475B" w14:paraId="7099B583" w14:textId="77777777" w:rsidTr="002536A6">
        <w:tc>
          <w:tcPr>
            <w:tcW w:w="2122" w:type="dxa"/>
            <w:vMerge/>
          </w:tcPr>
          <w:p w14:paraId="446F5DBC" w14:textId="77777777" w:rsidR="0036682E" w:rsidRPr="00AB425E" w:rsidRDefault="0036682E" w:rsidP="0036682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</w:tcPr>
          <w:p w14:paraId="7F6BC385" w14:textId="4C293578" w:rsidR="0036682E" w:rsidRPr="00AB425E" w:rsidRDefault="0036682E" w:rsidP="003668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proofErr w:type="spellStart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>Zabezpieczenia</w:t>
            </w:r>
            <w:proofErr w:type="spellEnd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>systemu</w:t>
            </w:r>
            <w:proofErr w:type="spellEnd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>próżniowego</w:t>
            </w:r>
            <w:proofErr w:type="spellEnd"/>
          </w:p>
        </w:tc>
        <w:tc>
          <w:tcPr>
            <w:tcW w:w="4105" w:type="dxa"/>
          </w:tcPr>
          <w:p w14:paraId="6438C2E5" w14:textId="339DC3E3" w:rsidR="0036682E" w:rsidRPr="00AB425E" w:rsidRDefault="0036682E" w:rsidP="003668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Co najmniej dwustopniowe zabezpieczenie przed dostaniem się próbki do </w:t>
            </w:r>
            <w:proofErr w:type="spellStart"/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manifoldu</w:t>
            </w:r>
            <w:proofErr w:type="spellEnd"/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: automatyczny zawór </w:t>
            </w:r>
            <w:proofErr w:type="spellStart"/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serwo</w:t>
            </w:r>
            <w:proofErr w:type="spellEnd"/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regulujący szybkość odgazowania próbki i dozowanie gazu sterowany za pomocą oprogramowania oraz dwupoziomowe zabezpieczenie mechaniczne np. typu spiek.</w:t>
            </w:r>
          </w:p>
        </w:tc>
      </w:tr>
      <w:tr w:rsidR="009B5963" w:rsidRPr="004B475B" w14:paraId="52F02B30" w14:textId="77777777" w:rsidTr="00EF13EE">
        <w:tc>
          <w:tcPr>
            <w:tcW w:w="2122" w:type="dxa"/>
            <w:vMerge/>
          </w:tcPr>
          <w:p w14:paraId="53D55920" w14:textId="77777777" w:rsidR="009B5963" w:rsidRPr="00AB425E" w:rsidRDefault="009B5963" w:rsidP="0036682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  <w:vMerge w:val="restart"/>
          </w:tcPr>
          <w:p w14:paraId="3AC90840" w14:textId="56B81223" w:rsidR="009B5963" w:rsidRPr="00AB425E" w:rsidRDefault="009B5963" w:rsidP="00EF13E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AB425E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Porty</w:t>
            </w:r>
          </w:p>
        </w:tc>
        <w:tc>
          <w:tcPr>
            <w:tcW w:w="4105" w:type="dxa"/>
            <w:vAlign w:val="center"/>
          </w:tcPr>
          <w:p w14:paraId="4D4E611B" w14:textId="4F9B2C16" w:rsidR="009B5963" w:rsidRPr="00AB425E" w:rsidRDefault="009B5963" w:rsidP="003668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425E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 xml:space="preserve">Pomiarowy/odgazowujący </w:t>
            </w: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zapewniający jednoczesny pomiar jednej próbki oraz przygotowywanie do analizy od jednej do dwu próbek w tym samym czasie w obrębie jednego aparatu.</w:t>
            </w:r>
          </w:p>
        </w:tc>
      </w:tr>
      <w:tr w:rsidR="009B5963" w:rsidRPr="004B475B" w14:paraId="1FB14A70" w14:textId="77777777" w:rsidTr="00544BAC">
        <w:tc>
          <w:tcPr>
            <w:tcW w:w="2122" w:type="dxa"/>
            <w:vMerge/>
          </w:tcPr>
          <w:p w14:paraId="62B5BD3B" w14:textId="77777777" w:rsidR="009B5963" w:rsidRPr="00AB425E" w:rsidRDefault="009B5963" w:rsidP="0036682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  <w:vMerge/>
            <w:vAlign w:val="center"/>
          </w:tcPr>
          <w:p w14:paraId="712976BE" w14:textId="77777777" w:rsidR="009B5963" w:rsidRPr="00AB425E" w:rsidRDefault="009B5963" w:rsidP="003668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105" w:type="dxa"/>
            <w:vAlign w:val="center"/>
          </w:tcPr>
          <w:p w14:paraId="5EBD4FF5" w14:textId="4B7F755C" w:rsidR="009B5963" w:rsidRPr="00AB425E" w:rsidRDefault="009B5963" w:rsidP="003668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Co najmniej jedno automatyczne stanowisko pomiarowe </w:t>
            </w:r>
            <w:proofErr w:type="spellStart"/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mikroporów</w:t>
            </w:r>
            <w:proofErr w:type="spellEnd"/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wraz z rurką wykonaną z metalu do pomiaru ciśnienia nasycenia, ze stabilnym układem kriogenicznym zapewniającym jednolitą temperaturę naczynia pomiarowego z próbką podczas całego cyklu pomiarowego.</w:t>
            </w:r>
          </w:p>
        </w:tc>
      </w:tr>
      <w:tr w:rsidR="009B5963" w:rsidRPr="004B475B" w14:paraId="40A58262" w14:textId="77777777" w:rsidTr="00544BAC">
        <w:tc>
          <w:tcPr>
            <w:tcW w:w="2122" w:type="dxa"/>
            <w:vMerge/>
          </w:tcPr>
          <w:p w14:paraId="6F817BC2" w14:textId="77777777" w:rsidR="009B5963" w:rsidRPr="00AB425E" w:rsidRDefault="009B5963" w:rsidP="0036682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  <w:vMerge/>
            <w:vAlign w:val="center"/>
          </w:tcPr>
          <w:p w14:paraId="5575AFD8" w14:textId="77777777" w:rsidR="009B5963" w:rsidRPr="00AB425E" w:rsidRDefault="009B5963" w:rsidP="003668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105" w:type="dxa"/>
            <w:vAlign w:val="center"/>
          </w:tcPr>
          <w:p w14:paraId="1EE7E0BD" w14:textId="2FE5E71D" w:rsidR="009B5963" w:rsidRPr="00AB425E" w:rsidRDefault="00BF122C" w:rsidP="003668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Porty odgazowania</w:t>
            </w:r>
            <w:r w:rsidR="009B5963"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co najmniej dwa wbudowane, automatyczne stanowiska do przygotowania próbek z możliwością programowania temperatury cyklu odgazowania próbek, pomiaru w zakresie: temperatury odgazowania próbek do co najmniej 450ºC, regulacji temperatury przynajmniej co 1ºC, kontroli procesu odgazowania próbki oraz usuwania produktów odgazowania.</w:t>
            </w:r>
          </w:p>
        </w:tc>
      </w:tr>
      <w:tr w:rsidR="009B5963" w:rsidRPr="004B475B" w14:paraId="19DFBD14" w14:textId="77777777" w:rsidTr="00CB7C7C">
        <w:tc>
          <w:tcPr>
            <w:tcW w:w="2122" w:type="dxa"/>
            <w:vMerge/>
          </w:tcPr>
          <w:p w14:paraId="23667246" w14:textId="77777777" w:rsidR="009B5963" w:rsidRPr="00AB425E" w:rsidRDefault="009B5963" w:rsidP="0036682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  <w:vMerge/>
            <w:vAlign w:val="center"/>
          </w:tcPr>
          <w:p w14:paraId="2C3AB907" w14:textId="77777777" w:rsidR="009B5963" w:rsidRPr="00AB425E" w:rsidRDefault="009B5963" w:rsidP="003668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105" w:type="dxa"/>
            <w:vAlign w:val="center"/>
          </w:tcPr>
          <w:p w14:paraId="63D913F6" w14:textId="2244DD28" w:rsidR="009B5963" w:rsidRPr="00AB425E" w:rsidRDefault="009B5963" w:rsidP="003668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Co najmniej jeden dodatkowy port na wylocie urządzenia do podłączenia spektrometru masowego.</w:t>
            </w:r>
          </w:p>
        </w:tc>
      </w:tr>
      <w:tr w:rsidR="009B5963" w:rsidRPr="004B475B" w14:paraId="6FCDC800" w14:textId="77777777" w:rsidTr="00590EFE">
        <w:tc>
          <w:tcPr>
            <w:tcW w:w="2122" w:type="dxa"/>
            <w:vMerge/>
          </w:tcPr>
          <w:p w14:paraId="2425D948" w14:textId="77777777" w:rsidR="009B5963" w:rsidRPr="00AB425E" w:rsidRDefault="009B5963" w:rsidP="0036682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  <w:vMerge/>
            <w:vAlign w:val="center"/>
          </w:tcPr>
          <w:p w14:paraId="5B0D673C" w14:textId="77777777" w:rsidR="009B5963" w:rsidRPr="00AB425E" w:rsidRDefault="009B5963" w:rsidP="003668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105" w:type="dxa"/>
            <w:vAlign w:val="center"/>
          </w:tcPr>
          <w:p w14:paraId="2C3E5EF6" w14:textId="0F7883C5" w:rsidR="009B5963" w:rsidRPr="00AB425E" w:rsidRDefault="00A74FF6" w:rsidP="003668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Co najmniej jeden port do podłączenia źródła par w celu prowadzenia pomiarów sorpcji par</w:t>
            </w:r>
          </w:p>
        </w:tc>
      </w:tr>
      <w:tr w:rsidR="0036682E" w14:paraId="5431F075" w14:textId="77777777" w:rsidTr="00C07655">
        <w:tc>
          <w:tcPr>
            <w:tcW w:w="2122" w:type="dxa"/>
            <w:vMerge/>
          </w:tcPr>
          <w:p w14:paraId="2887CDA2" w14:textId="77777777" w:rsidR="0036682E" w:rsidRPr="00AB425E" w:rsidRDefault="0036682E" w:rsidP="0036682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</w:tcPr>
          <w:p w14:paraId="7CE88622" w14:textId="7E1C7A2B" w:rsidR="0036682E" w:rsidRPr="00AB425E" w:rsidRDefault="0036682E" w:rsidP="003668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proofErr w:type="spellStart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>Temperatura</w:t>
            </w:r>
            <w:proofErr w:type="spellEnd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>odgazowania</w:t>
            </w:r>
            <w:proofErr w:type="spellEnd"/>
          </w:p>
        </w:tc>
        <w:tc>
          <w:tcPr>
            <w:tcW w:w="4105" w:type="dxa"/>
          </w:tcPr>
          <w:p w14:paraId="7F6EAEB9" w14:textId="2587B909" w:rsidR="0036682E" w:rsidRPr="00AB425E" w:rsidRDefault="0036682E" w:rsidP="003668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</w:rPr>
              <w:t>do 450°C</w:t>
            </w:r>
          </w:p>
        </w:tc>
      </w:tr>
      <w:tr w:rsidR="0036682E" w:rsidRPr="004B475B" w14:paraId="4E2419CA" w14:textId="77777777" w:rsidTr="00C07655">
        <w:tc>
          <w:tcPr>
            <w:tcW w:w="2122" w:type="dxa"/>
            <w:vMerge/>
          </w:tcPr>
          <w:p w14:paraId="1AE29F15" w14:textId="77777777" w:rsidR="0036682E" w:rsidRPr="00AB425E" w:rsidRDefault="0036682E" w:rsidP="0036682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</w:tcPr>
          <w:p w14:paraId="02FDB5A9" w14:textId="35B17E26" w:rsidR="0036682E" w:rsidRPr="00AB425E" w:rsidRDefault="003008E7" w:rsidP="003668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Temperatura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pomiaru</w:t>
            </w:r>
            <w:proofErr w:type="spellEnd"/>
          </w:p>
        </w:tc>
        <w:tc>
          <w:tcPr>
            <w:tcW w:w="4105" w:type="dxa"/>
          </w:tcPr>
          <w:p w14:paraId="5A2EBD61" w14:textId="6F44D0E7" w:rsidR="0036682E" w:rsidRPr="00AB425E" w:rsidRDefault="0036682E" w:rsidP="003668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-196 do 30°C, zależna od adsorbatu</w:t>
            </w:r>
          </w:p>
        </w:tc>
      </w:tr>
      <w:tr w:rsidR="00851850" w:rsidRPr="004B475B" w14:paraId="326462C8" w14:textId="77777777" w:rsidTr="000E4C0A">
        <w:tc>
          <w:tcPr>
            <w:tcW w:w="2122" w:type="dxa"/>
            <w:vMerge/>
          </w:tcPr>
          <w:p w14:paraId="7D34F82B" w14:textId="77777777" w:rsidR="00851850" w:rsidRPr="00AB425E" w:rsidRDefault="00851850" w:rsidP="0085185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  <w:vAlign w:val="center"/>
          </w:tcPr>
          <w:p w14:paraId="74218DA4" w14:textId="5DA1B8A4" w:rsidR="00851850" w:rsidRPr="00AB425E" w:rsidRDefault="00851850" w:rsidP="008518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B425E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Dewar</w:t>
            </w:r>
            <w:proofErr w:type="spellEnd"/>
          </w:p>
        </w:tc>
        <w:tc>
          <w:tcPr>
            <w:tcW w:w="4105" w:type="dxa"/>
            <w:vAlign w:val="center"/>
          </w:tcPr>
          <w:p w14:paraId="4643CEE1" w14:textId="110EFCA7" w:rsidR="00851850" w:rsidRPr="00AB425E" w:rsidRDefault="00987EE3" w:rsidP="00987E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475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Dwa co najmniej 3 litrowe</w:t>
            </w:r>
            <w:r w:rsidR="00851850" w:rsidRPr="004B475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AB425E" w:rsidRPr="004B475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odrębnie </w:t>
            </w:r>
            <w:r w:rsidR="00851850" w:rsidRPr="004B475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dla stacji analitycznej oraz</w:t>
            </w:r>
            <w:r w:rsidRPr="004B475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4B475B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  <w:lang w:val="pl-PL"/>
              </w:rPr>
              <w:t>systemu wymrażania (dla stacji pomiarowej i stacji odgazowania)</w:t>
            </w:r>
            <w:r w:rsidR="00672A6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 identycznych parametrach.</w:t>
            </w:r>
          </w:p>
        </w:tc>
      </w:tr>
      <w:tr w:rsidR="00851850" w14:paraId="0A9C59CE" w14:textId="77777777" w:rsidTr="00F2300F">
        <w:tc>
          <w:tcPr>
            <w:tcW w:w="2122" w:type="dxa"/>
            <w:vMerge/>
          </w:tcPr>
          <w:p w14:paraId="59FE4C46" w14:textId="77777777" w:rsidR="00851850" w:rsidRPr="00AB425E" w:rsidRDefault="00851850" w:rsidP="0085185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</w:tcPr>
          <w:p w14:paraId="0BC0F6DE" w14:textId="6FF61DE3" w:rsidR="00851850" w:rsidRPr="00AB425E" w:rsidRDefault="00851850" w:rsidP="0085185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Czas pracy stacji analitycznej i stacji odgazowania bez konieczności uzupełniania ciekłego azotu</w:t>
            </w:r>
          </w:p>
        </w:tc>
        <w:tc>
          <w:tcPr>
            <w:tcW w:w="4105" w:type="dxa"/>
            <w:vAlign w:val="center"/>
          </w:tcPr>
          <w:p w14:paraId="04CB6989" w14:textId="0B67C70E" w:rsidR="00851850" w:rsidRPr="00AB425E" w:rsidRDefault="00851850" w:rsidP="0085185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</w:rPr>
              <w:t xml:space="preserve">Min. 95 </w:t>
            </w:r>
            <w:proofErr w:type="spellStart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>godz</w:t>
            </w:r>
            <w:proofErr w:type="spellEnd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51850" w:rsidRPr="004B475B" w14:paraId="734A416E" w14:textId="77777777" w:rsidTr="00544BAC">
        <w:tc>
          <w:tcPr>
            <w:tcW w:w="2122" w:type="dxa"/>
            <w:vMerge/>
          </w:tcPr>
          <w:p w14:paraId="1E46D961" w14:textId="77777777" w:rsidR="00851850" w:rsidRPr="00AB425E" w:rsidRDefault="00851850" w:rsidP="0085185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  <w:vAlign w:val="center"/>
          </w:tcPr>
          <w:p w14:paraId="1F0E111E" w14:textId="32995CB5" w:rsidR="00851850" w:rsidRPr="00AB425E" w:rsidRDefault="00851850" w:rsidP="0085185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AB425E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 xml:space="preserve">System utrzymania stałej temperatury na długości rurki pomiarowej w ciągu cyklu pomiarowego </w:t>
            </w:r>
          </w:p>
        </w:tc>
        <w:tc>
          <w:tcPr>
            <w:tcW w:w="4105" w:type="dxa"/>
            <w:vAlign w:val="center"/>
          </w:tcPr>
          <w:p w14:paraId="79B36C2F" w14:textId="55DFEC31" w:rsidR="00851850" w:rsidRPr="00AB425E" w:rsidRDefault="00851850" w:rsidP="0085185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Płaszcze izotermiczne do probówek w celu utrzymywania stałego rozłożenia niskiej temperatury w rurce z próbką i w rurce do pomiaru ciśnienia nasycenia na długości co najmniej 20 cm w czasie całego cyklu analizy, bez konieczności uzupełniania chłodziwa i bez ruchomych elementów układu izotermicznego.</w:t>
            </w:r>
          </w:p>
        </w:tc>
      </w:tr>
      <w:tr w:rsidR="00851850" w:rsidRPr="004B475B" w14:paraId="439742FA" w14:textId="77777777" w:rsidTr="00544BAC">
        <w:tc>
          <w:tcPr>
            <w:tcW w:w="2122" w:type="dxa"/>
            <w:vMerge/>
          </w:tcPr>
          <w:p w14:paraId="02BD0AA2" w14:textId="77777777" w:rsidR="00851850" w:rsidRPr="00AB425E" w:rsidRDefault="00851850" w:rsidP="0085185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  <w:vAlign w:val="center"/>
          </w:tcPr>
          <w:p w14:paraId="294D8B18" w14:textId="6CB86610" w:rsidR="00851850" w:rsidRPr="00AB425E" w:rsidRDefault="00851850" w:rsidP="0085185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</w:rPr>
              <w:t xml:space="preserve">System </w:t>
            </w:r>
            <w:proofErr w:type="spellStart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>dozowania</w:t>
            </w:r>
            <w:proofErr w:type="spellEnd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105" w:type="dxa"/>
            <w:vAlign w:val="center"/>
          </w:tcPr>
          <w:p w14:paraId="1EDDF1F0" w14:textId="2B6550E4" w:rsidR="00851850" w:rsidRPr="00AB425E" w:rsidRDefault="00851850" w:rsidP="003950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AB425E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Za</w:t>
            </w:r>
            <w:r w:rsidR="003950D5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 xml:space="preserve">pewnienie możliwości określenia dawki, </w:t>
            </w:r>
            <w:r w:rsidRPr="00AB425E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 xml:space="preserve">ciśnienia </w:t>
            </w:r>
            <w:r w:rsidR="003950D5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i</w:t>
            </w:r>
            <w:r w:rsidRPr="00AB425E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 xml:space="preserve"> przedziału czasowego </w:t>
            </w:r>
            <w:r w:rsidR="003950D5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podczas</w:t>
            </w:r>
            <w:r w:rsidRPr="00AB425E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 xml:space="preserve"> dozowania</w:t>
            </w:r>
            <w:r w:rsidR="003950D5" w:rsidRPr="00AB425E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 xml:space="preserve"> gazów</w:t>
            </w:r>
            <w:r w:rsidRPr="00AB425E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.</w:t>
            </w:r>
          </w:p>
        </w:tc>
      </w:tr>
      <w:tr w:rsidR="00851850" w14:paraId="494D2F48" w14:textId="77777777" w:rsidTr="00544BAC">
        <w:tc>
          <w:tcPr>
            <w:tcW w:w="2122" w:type="dxa"/>
            <w:vMerge/>
          </w:tcPr>
          <w:p w14:paraId="1CF152E7" w14:textId="77777777" w:rsidR="00851850" w:rsidRPr="00AB425E" w:rsidRDefault="00851850" w:rsidP="0085185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  <w:vAlign w:val="center"/>
          </w:tcPr>
          <w:p w14:paraId="710638D6" w14:textId="46783F29" w:rsidR="00851850" w:rsidRPr="00AB425E" w:rsidRDefault="00851850" w:rsidP="0085185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Przyłącza gazowe do </w:t>
            </w:r>
            <w:proofErr w:type="spellStart"/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manifoldu</w:t>
            </w:r>
            <w:proofErr w:type="spellEnd"/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wybierane z poziomu oprogramowania </w:t>
            </w:r>
          </w:p>
        </w:tc>
        <w:tc>
          <w:tcPr>
            <w:tcW w:w="4105" w:type="dxa"/>
            <w:vAlign w:val="center"/>
          </w:tcPr>
          <w:p w14:paraId="16BF708B" w14:textId="4CE44024" w:rsidR="00851850" w:rsidRPr="00AB425E" w:rsidRDefault="00851850" w:rsidP="0085185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AB425E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 xml:space="preserve">Co najmniej 12 </w:t>
            </w:r>
          </w:p>
        </w:tc>
      </w:tr>
      <w:tr w:rsidR="00851850" w:rsidRPr="004B475B" w14:paraId="5CA2992E" w14:textId="77777777" w:rsidTr="009410CB">
        <w:tc>
          <w:tcPr>
            <w:tcW w:w="2122" w:type="dxa"/>
            <w:vMerge/>
          </w:tcPr>
          <w:p w14:paraId="311BAC22" w14:textId="77777777" w:rsidR="00851850" w:rsidRPr="00AB425E" w:rsidRDefault="00851850" w:rsidP="0085185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  <w:vAlign w:val="center"/>
          </w:tcPr>
          <w:p w14:paraId="0DA75910" w14:textId="7F552310" w:rsidR="00851850" w:rsidRPr="00AB425E" w:rsidRDefault="00851850" w:rsidP="0085185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Stosowane gazy pomiarowe wraz z osprzętem</w:t>
            </w:r>
          </w:p>
        </w:tc>
        <w:tc>
          <w:tcPr>
            <w:tcW w:w="4105" w:type="dxa"/>
          </w:tcPr>
          <w:p w14:paraId="1A7378E1" w14:textId="51EC80EC" w:rsidR="00851850" w:rsidRPr="00AB425E" w:rsidRDefault="00851850" w:rsidP="008518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</w:t>
            </w:r>
            <w:r w:rsidRPr="00AB425E">
              <w:rPr>
                <w:rFonts w:asciiTheme="minorHAnsi" w:hAnsiTheme="minorHAnsi" w:cstheme="minorHAnsi"/>
                <w:sz w:val="20"/>
                <w:szCs w:val="20"/>
                <w:vertAlign w:val="subscript"/>
                <w:lang w:val="pl-PL"/>
              </w:rPr>
              <w:t>2</w:t>
            </w: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 H</w:t>
            </w:r>
            <w:r w:rsidRPr="00AB425E">
              <w:rPr>
                <w:rFonts w:asciiTheme="minorHAnsi" w:hAnsiTheme="minorHAnsi" w:cstheme="minorHAnsi"/>
                <w:sz w:val="20"/>
                <w:szCs w:val="20"/>
                <w:vertAlign w:val="subscript"/>
                <w:lang w:val="pl-PL"/>
              </w:rPr>
              <w:t>2</w:t>
            </w: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 He, sprężone powietrze, CO</w:t>
            </w:r>
            <w:r w:rsidRPr="00AB425E">
              <w:rPr>
                <w:rFonts w:asciiTheme="minorHAnsi" w:hAnsiTheme="minorHAnsi" w:cstheme="minorHAnsi"/>
                <w:sz w:val="20"/>
                <w:szCs w:val="20"/>
                <w:vertAlign w:val="subscript"/>
                <w:lang w:val="pl-PL"/>
              </w:rPr>
              <w:t>2</w:t>
            </w: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</w:t>
            </w:r>
          </w:p>
          <w:p w14:paraId="681083F1" w14:textId="002F2BEE" w:rsidR="00851850" w:rsidRPr="00AB425E" w:rsidRDefault="00851850" w:rsidP="0085185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Osprzęt: złączki, zawory nadmiarowe, reduktory analityczne, dwustopniowe do butli z N</w:t>
            </w:r>
            <w:r w:rsidRPr="00AB425E">
              <w:rPr>
                <w:rFonts w:asciiTheme="minorHAnsi" w:hAnsiTheme="minorHAnsi" w:cstheme="minorHAnsi"/>
                <w:sz w:val="20"/>
                <w:szCs w:val="20"/>
                <w:vertAlign w:val="subscript"/>
                <w:lang w:val="pl-PL"/>
              </w:rPr>
              <w:t>2</w:t>
            </w: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 He, CO</w:t>
            </w:r>
            <w:r w:rsidRPr="00AB425E">
              <w:rPr>
                <w:rFonts w:asciiTheme="minorHAnsi" w:hAnsiTheme="minorHAnsi" w:cstheme="minorHAnsi"/>
                <w:sz w:val="20"/>
                <w:szCs w:val="20"/>
                <w:vertAlign w:val="subscript"/>
                <w:lang w:val="pl-PL"/>
              </w:rPr>
              <w:t>2</w:t>
            </w: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 H</w:t>
            </w:r>
            <w:r w:rsidRPr="00AB425E">
              <w:rPr>
                <w:rFonts w:asciiTheme="minorHAnsi" w:hAnsiTheme="minorHAnsi" w:cstheme="minorHAnsi"/>
                <w:sz w:val="20"/>
                <w:szCs w:val="20"/>
                <w:vertAlign w:val="subscript"/>
                <w:lang w:val="pl-PL"/>
              </w:rPr>
              <w:t>2</w:t>
            </w: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 sprężone powietrze oraz minimum 1 dzielnik przepływu w dostawie</w:t>
            </w:r>
          </w:p>
        </w:tc>
      </w:tr>
      <w:tr w:rsidR="00851850" w:rsidRPr="004B475B" w14:paraId="6FB7A5FC" w14:textId="77777777" w:rsidTr="00EF13EE">
        <w:tc>
          <w:tcPr>
            <w:tcW w:w="2122" w:type="dxa"/>
            <w:vMerge w:val="restart"/>
          </w:tcPr>
          <w:p w14:paraId="671FC07D" w14:textId="133671A6" w:rsidR="00851850" w:rsidRPr="00AB425E" w:rsidRDefault="00851850" w:rsidP="00AB425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  <w:r w:rsidRPr="00AB42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  <w:t>Dodatkowe cechy układu pomiarowego</w:t>
            </w:r>
          </w:p>
        </w:tc>
        <w:tc>
          <w:tcPr>
            <w:tcW w:w="2835" w:type="dxa"/>
            <w:vMerge w:val="restart"/>
          </w:tcPr>
          <w:p w14:paraId="48285D91" w14:textId="636B766F" w:rsidR="00851850" w:rsidRPr="00AB425E" w:rsidRDefault="00851850" w:rsidP="00EF13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System pomiarów</w:t>
            </w:r>
          </w:p>
        </w:tc>
        <w:tc>
          <w:tcPr>
            <w:tcW w:w="4105" w:type="dxa"/>
          </w:tcPr>
          <w:p w14:paraId="4F9A5B91" w14:textId="0D279C17" w:rsidR="00851850" w:rsidRPr="00AB425E" w:rsidRDefault="00851850" w:rsidP="00851850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spacing w:after="0" w:line="240" w:lineRule="auto"/>
              <w:ind w:left="175" w:hanging="16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przygotowania i analizy próbki do sorpcji fizycznej i chemicznej w jednej stacji pomiarowej</w:t>
            </w:r>
            <w:r w:rsidR="00EF13EE"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</w:tc>
      </w:tr>
      <w:tr w:rsidR="00851850" w:rsidRPr="004B475B" w14:paraId="691361CE" w14:textId="77777777" w:rsidTr="009410CB">
        <w:tc>
          <w:tcPr>
            <w:tcW w:w="2122" w:type="dxa"/>
            <w:vMerge/>
          </w:tcPr>
          <w:p w14:paraId="071B45DB" w14:textId="77777777" w:rsidR="00851850" w:rsidRPr="00AB425E" w:rsidRDefault="00851850" w:rsidP="0085185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  <w:vMerge/>
            <w:vAlign w:val="center"/>
          </w:tcPr>
          <w:p w14:paraId="3C53A326" w14:textId="77777777" w:rsidR="00851850" w:rsidRPr="00AB425E" w:rsidRDefault="00851850" w:rsidP="008518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105" w:type="dxa"/>
          </w:tcPr>
          <w:p w14:paraId="6FA6B24F" w14:textId="603419E2" w:rsidR="00851850" w:rsidRPr="00AB425E" w:rsidRDefault="00851850" w:rsidP="00851850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spacing w:after="0" w:line="240" w:lineRule="auto"/>
              <w:ind w:left="175" w:hanging="16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szybkiego i łatwego przejścia z chemisorpcji do analizy sorpcji fizycznej.</w:t>
            </w:r>
          </w:p>
        </w:tc>
      </w:tr>
      <w:tr w:rsidR="00851850" w:rsidRPr="004B475B" w14:paraId="42D2470E" w14:textId="77777777" w:rsidTr="009410CB">
        <w:tc>
          <w:tcPr>
            <w:tcW w:w="2122" w:type="dxa"/>
            <w:vMerge/>
          </w:tcPr>
          <w:p w14:paraId="01092B11" w14:textId="77777777" w:rsidR="00851850" w:rsidRPr="00AB425E" w:rsidRDefault="00851850" w:rsidP="0085185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  <w:vMerge/>
            <w:vAlign w:val="center"/>
          </w:tcPr>
          <w:p w14:paraId="57C5E518" w14:textId="77777777" w:rsidR="00851850" w:rsidRPr="00AB425E" w:rsidRDefault="00851850" w:rsidP="008518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105" w:type="dxa"/>
          </w:tcPr>
          <w:p w14:paraId="5DF2B338" w14:textId="3A3CAD72" w:rsidR="00851850" w:rsidRPr="00AB425E" w:rsidRDefault="00851850" w:rsidP="00851850">
            <w:pPr>
              <w:numPr>
                <w:ilvl w:val="0"/>
                <w:numId w:val="6"/>
              </w:numPr>
              <w:tabs>
                <w:tab w:val="num" w:pos="175"/>
              </w:tabs>
              <w:spacing w:after="0" w:line="240" w:lineRule="auto"/>
              <w:ind w:left="175" w:hanging="16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wielokrotnej analizy tej samej próbki.</w:t>
            </w:r>
          </w:p>
        </w:tc>
      </w:tr>
      <w:tr w:rsidR="003950D5" w:rsidRPr="004B475B" w14:paraId="304A8D2A" w14:textId="77777777" w:rsidTr="009410CB">
        <w:tc>
          <w:tcPr>
            <w:tcW w:w="2122" w:type="dxa"/>
            <w:vMerge/>
          </w:tcPr>
          <w:p w14:paraId="634B516E" w14:textId="77777777" w:rsidR="003950D5" w:rsidRPr="00AB425E" w:rsidRDefault="003950D5" w:rsidP="0085185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  <w:vMerge/>
            <w:vAlign w:val="center"/>
          </w:tcPr>
          <w:p w14:paraId="5B7FCC2A" w14:textId="77777777" w:rsidR="003950D5" w:rsidRPr="00AB425E" w:rsidRDefault="003950D5" w:rsidP="008518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105" w:type="dxa"/>
          </w:tcPr>
          <w:p w14:paraId="50C853FA" w14:textId="17D973DD" w:rsidR="003950D5" w:rsidRPr="00AB425E" w:rsidRDefault="003950D5" w:rsidP="00851850">
            <w:pPr>
              <w:numPr>
                <w:ilvl w:val="0"/>
                <w:numId w:val="6"/>
              </w:numPr>
              <w:tabs>
                <w:tab w:val="num" w:pos="175"/>
              </w:tabs>
              <w:spacing w:after="0" w:line="240" w:lineRule="auto"/>
              <w:ind w:left="175" w:hanging="16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Monitoring stabilności ciśnienia zapewniający równowagę punktów pomiarowych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</w:tc>
      </w:tr>
      <w:tr w:rsidR="00851850" w:rsidRPr="004B475B" w14:paraId="2B913E57" w14:textId="77777777" w:rsidTr="009410CB">
        <w:tc>
          <w:tcPr>
            <w:tcW w:w="2122" w:type="dxa"/>
            <w:vMerge/>
          </w:tcPr>
          <w:p w14:paraId="12E9BB4C" w14:textId="77777777" w:rsidR="00851850" w:rsidRPr="00AB425E" w:rsidRDefault="00851850" w:rsidP="0085185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  <w:vMerge/>
            <w:vAlign w:val="center"/>
          </w:tcPr>
          <w:p w14:paraId="2BC30E2E" w14:textId="77777777" w:rsidR="00851850" w:rsidRPr="00AB425E" w:rsidRDefault="00851850" w:rsidP="008518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105" w:type="dxa"/>
          </w:tcPr>
          <w:p w14:paraId="7503BDB2" w14:textId="63040363" w:rsidR="00851850" w:rsidRPr="00AB425E" w:rsidRDefault="003950D5" w:rsidP="00851850">
            <w:pPr>
              <w:numPr>
                <w:ilvl w:val="0"/>
                <w:numId w:val="6"/>
              </w:numPr>
              <w:tabs>
                <w:tab w:val="num" w:pos="175"/>
              </w:tabs>
              <w:spacing w:after="0" w:line="240" w:lineRule="auto"/>
              <w:ind w:left="175" w:hanging="16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programowania ilości punktów pomiarowych co najmniej w zakresie od 1 do 5000.</w:t>
            </w:r>
          </w:p>
        </w:tc>
      </w:tr>
      <w:tr w:rsidR="00851850" w:rsidRPr="004B475B" w14:paraId="3082B11F" w14:textId="77777777" w:rsidTr="009410CB">
        <w:tc>
          <w:tcPr>
            <w:tcW w:w="2122" w:type="dxa"/>
            <w:vMerge/>
          </w:tcPr>
          <w:p w14:paraId="084BE15B" w14:textId="77777777" w:rsidR="00851850" w:rsidRPr="00AB425E" w:rsidRDefault="00851850" w:rsidP="0085185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  <w:vMerge/>
            <w:vAlign w:val="center"/>
          </w:tcPr>
          <w:p w14:paraId="62112225" w14:textId="77777777" w:rsidR="00851850" w:rsidRPr="00AB425E" w:rsidRDefault="00851850" w:rsidP="008518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105" w:type="dxa"/>
          </w:tcPr>
          <w:p w14:paraId="4657C739" w14:textId="4F06A4EF" w:rsidR="00851850" w:rsidRPr="00AB425E" w:rsidRDefault="00851850" w:rsidP="00851850">
            <w:pPr>
              <w:numPr>
                <w:ilvl w:val="0"/>
                <w:numId w:val="6"/>
              </w:numPr>
              <w:tabs>
                <w:tab w:val="num" w:pos="175"/>
              </w:tabs>
              <w:spacing w:after="0" w:line="240" w:lineRule="auto"/>
              <w:ind w:left="175" w:hanging="16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Możliwość przygotowania i aktywacji </w:t>
            </w:r>
            <w:r w:rsidRPr="00AB425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>in situ</w:t>
            </w: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próbki do chemisorpcji w pełni zautomatyzowaną metodę, która nie wymaga interwencji użytkownika</w:t>
            </w:r>
            <w:r w:rsidR="00EF13EE"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</w:tc>
      </w:tr>
      <w:tr w:rsidR="00851850" w:rsidRPr="004B475B" w14:paraId="1CC3A63B" w14:textId="77777777" w:rsidTr="009410CB">
        <w:tc>
          <w:tcPr>
            <w:tcW w:w="2122" w:type="dxa"/>
            <w:vMerge/>
          </w:tcPr>
          <w:p w14:paraId="5AFDED47" w14:textId="77777777" w:rsidR="00851850" w:rsidRPr="00AB425E" w:rsidRDefault="00851850" w:rsidP="0085185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  <w:vMerge/>
            <w:vAlign w:val="center"/>
          </w:tcPr>
          <w:p w14:paraId="5A849D60" w14:textId="77777777" w:rsidR="00851850" w:rsidRPr="00AB425E" w:rsidRDefault="00851850" w:rsidP="008518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105" w:type="dxa"/>
          </w:tcPr>
          <w:p w14:paraId="2C964AE3" w14:textId="65C41763" w:rsidR="00851850" w:rsidRPr="00AB425E" w:rsidRDefault="00851850" w:rsidP="00851850">
            <w:pPr>
              <w:numPr>
                <w:ilvl w:val="0"/>
                <w:numId w:val="6"/>
              </w:numPr>
              <w:tabs>
                <w:tab w:val="num" w:pos="175"/>
              </w:tabs>
              <w:spacing w:after="0" w:line="240" w:lineRule="auto"/>
              <w:ind w:left="175" w:hanging="16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kontrolowania dwóch aparatów z jednego komputera.</w:t>
            </w:r>
          </w:p>
        </w:tc>
      </w:tr>
      <w:tr w:rsidR="00851850" w:rsidRPr="004B475B" w14:paraId="7AFFB424" w14:textId="77777777" w:rsidTr="009410CB">
        <w:tc>
          <w:tcPr>
            <w:tcW w:w="2122" w:type="dxa"/>
            <w:vMerge/>
          </w:tcPr>
          <w:p w14:paraId="0F6FB2BC" w14:textId="77777777" w:rsidR="00851850" w:rsidRPr="00AB425E" w:rsidRDefault="00851850" w:rsidP="0085185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  <w:vMerge/>
            <w:vAlign w:val="center"/>
          </w:tcPr>
          <w:p w14:paraId="4B28867A" w14:textId="77777777" w:rsidR="00851850" w:rsidRPr="00AB425E" w:rsidRDefault="00851850" w:rsidP="008518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105" w:type="dxa"/>
          </w:tcPr>
          <w:p w14:paraId="6CBBC84A" w14:textId="258F8C41" w:rsidR="00851850" w:rsidRPr="00AB425E" w:rsidRDefault="00851850" w:rsidP="00851850">
            <w:pPr>
              <w:numPr>
                <w:ilvl w:val="0"/>
                <w:numId w:val="6"/>
              </w:numPr>
              <w:tabs>
                <w:tab w:val="num" w:pos="175"/>
              </w:tabs>
              <w:spacing w:after="0" w:line="240" w:lineRule="auto"/>
              <w:ind w:left="175" w:hanging="16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doposażenia układu o jedno lub dwa dodatkowe stanowiska pomiarowe.</w:t>
            </w:r>
          </w:p>
        </w:tc>
      </w:tr>
      <w:tr w:rsidR="003950D5" w:rsidRPr="004B475B" w14:paraId="626D087F" w14:textId="77777777" w:rsidTr="003950D5">
        <w:trPr>
          <w:trHeight w:val="1016"/>
        </w:trPr>
        <w:tc>
          <w:tcPr>
            <w:tcW w:w="2122" w:type="dxa"/>
            <w:vMerge/>
          </w:tcPr>
          <w:p w14:paraId="18990FE2" w14:textId="77777777" w:rsidR="003950D5" w:rsidRPr="00AB425E" w:rsidRDefault="003950D5" w:rsidP="0085185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  <w:vMerge/>
            <w:vAlign w:val="center"/>
          </w:tcPr>
          <w:p w14:paraId="4303039A" w14:textId="77777777" w:rsidR="003950D5" w:rsidRPr="00AB425E" w:rsidRDefault="003950D5" w:rsidP="008518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105" w:type="dxa"/>
          </w:tcPr>
          <w:p w14:paraId="65AE151E" w14:textId="61C8C8E0" w:rsidR="003950D5" w:rsidRPr="00AB425E" w:rsidRDefault="003950D5" w:rsidP="00851850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spacing w:after="0" w:line="240" w:lineRule="auto"/>
              <w:ind w:left="175" w:hanging="16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System uszczelnienia automatycznego probówek przez zastosowanie zatyczek do rurek w celu ochrony próbek przed ewentualnym zanieczyszczeniem.</w:t>
            </w:r>
          </w:p>
        </w:tc>
      </w:tr>
      <w:tr w:rsidR="00851850" w:rsidRPr="004B475B" w14:paraId="4C6858B7" w14:textId="77777777" w:rsidTr="00EF13EE">
        <w:tc>
          <w:tcPr>
            <w:tcW w:w="2122" w:type="dxa"/>
            <w:vMerge/>
          </w:tcPr>
          <w:p w14:paraId="262AF355" w14:textId="15901C2C" w:rsidR="00851850" w:rsidRPr="00AB425E" w:rsidRDefault="00851850" w:rsidP="0085185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  <w:vMerge w:val="restart"/>
          </w:tcPr>
          <w:p w14:paraId="58C5B9D3" w14:textId="17CA0236" w:rsidR="00851850" w:rsidRPr="00AB425E" w:rsidRDefault="00851850" w:rsidP="00EF13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Piec</w:t>
            </w:r>
          </w:p>
        </w:tc>
        <w:tc>
          <w:tcPr>
            <w:tcW w:w="4105" w:type="dxa"/>
          </w:tcPr>
          <w:p w14:paraId="3476CB77" w14:textId="7FED403F" w:rsidR="00851850" w:rsidRPr="00AB425E" w:rsidRDefault="003950D5" w:rsidP="00851850">
            <w:pPr>
              <w:numPr>
                <w:ilvl w:val="0"/>
                <w:numId w:val="6"/>
              </w:numPr>
              <w:tabs>
                <w:tab w:val="num" w:pos="175"/>
              </w:tabs>
              <w:spacing w:after="0" w:line="240" w:lineRule="auto"/>
              <w:ind w:left="175" w:hanging="16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</w:t>
            </w:r>
            <w:r w:rsidR="00851850"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iec umożliwiający grzanie próbe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 od temperatury co najmniej 10</w:t>
            </w:r>
            <w:r w:rsidRPr="003950D5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pl-PL"/>
              </w:rPr>
              <w:t>o</w:t>
            </w:r>
            <w:r w:rsidR="00851850"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 powyżej temperatury otoczenia do co najmniej 1100</w:t>
            </w:r>
            <w:r w:rsidRPr="003950D5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pl-PL"/>
              </w:rPr>
              <w:t>o</w:t>
            </w:r>
            <w:r w:rsidR="00851850"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 z regulacj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ą temperatury przynajmniej co 1</w:t>
            </w:r>
            <w:r w:rsidRPr="003950D5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pl-PL"/>
              </w:rPr>
              <w:t>o</w:t>
            </w:r>
            <w:r w:rsidR="00851850"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C.</w:t>
            </w:r>
          </w:p>
        </w:tc>
      </w:tr>
      <w:tr w:rsidR="00851850" w:rsidRPr="004B475B" w14:paraId="00FE4C6E" w14:textId="77777777" w:rsidTr="008A0B16">
        <w:tc>
          <w:tcPr>
            <w:tcW w:w="2122" w:type="dxa"/>
            <w:vMerge/>
          </w:tcPr>
          <w:p w14:paraId="60EA23C1" w14:textId="77777777" w:rsidR="00851850" w:rsidRPr="00AB425E" w:rsidRDefault="00851850" w:rsidP="0085185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  <w:vMerge/>
            <w:vAlign w:val="center"/>
          </w:tcPr>
          <w:p w14:paraId="116A8533" w14:textId="77777777" w:rsidR="00851850" w:rsidRPr="00AB425E" w:rsidRDefault="00851850" w:rsidP="008518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105" w:type="dxa"/>
          </w:tcPr>
          <w:p w14:paraId="3E84A016" w14:textId="0B8E0680" w:rsidR="00851850" w:rsidRPr="00AB425E" w:rsidRDefault="00851850" w:rsidP="00851850">
            <w:pPr>
              <w:numPr>
                <w:ilvl w:val="0"/>
                <w:numId w:val="6"/>
              </w:numPr>
              <w:tabs>
                <w:tab w:val="num" w:pos="175"/>
              </w:tabs>
              <w:spacing w:after="0" w:line="240" w:lineRule="auto"/>
              <w:ind w:left="175" w:hanging="16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komputerowego sterowania przyrostem i czasem utrzymania temperatury.</w:t>
            </w:r>
          </w:p>
        </w:tc>
      </w:tr>
      <w:tr w:rsidR="00851850" w:rsidRPr="004B475B" w14:paraId="6993EE41" w14:textId="77777777" w:rsidTr="009410CB">
        <w:tc>
          <w:tcPr>
            <w:tcW w:w="2122" w:type="dxa"/>
            <w:vMerge/>
          </w:tcPr>
          <w:p w14:paraId="0A318AAB" w14:textId="77777777" w:rsidR="00851850" w:rsidRPr="00AB425E" w:rsidRDefault="00851850" w:rsidP="0085185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  <w:vMerge/>
            <w:vAlign w:val="center"/>
          </w:tcPr>
          <w:p w14:paraId="29A17B98" w14:textId="77777777" w:rsidR="00851850" w:rsidRPr="00AB425E" w:rsidRDefault="00851850" w:rsidP="008518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105" w:type="dxa"/>
          </w:tcPr>
          <w:p w14:paraId="330F35E9" w14:textId="6608CB0F" w:rsidR="00851850" w:rsidRPr="00AB425E" w:rsidRDefault="00EF13EE" w:rsidP="00851850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spacing w:after="0" w:line="240" w:lineRule="auto"/>
              <w:ind w:left="175" w:hanging="16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</w:t>
            </w:r>
            <w:r w:rsidR="00851850"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budowany system umożliwiający szybkie obniżenie temperatury pieca używanego</w:t>
            </w:r>
            <w:r w:rsidR="003950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 pomiarach chemisorpcji gazów.</w:t>
            </w:r>
          </w:p>
        </w:tc>
      </w:tr>
      <w:tr w:rsidR="00851850" w:rsidRPr="004B475B" w14:paraId="26D94B57" w14:textId="77777777" w:rsidTr="009410CB">
        <w:tc>
          <w:tcPr>
            <w:tcW w:w="2122" w:type="dxa"/>
            <w:vMerge/>
          </w:tcPr>
          <w:p w14:paraId="2AB5CA6A" w14:textId="77777777" w:rsidR="00851850" w:rsidRPr="00AB425E" w:rsidRDefault="00851850" w:rsidP="0085185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  <w:vAlign w:val="center"/>
          </w:tcPr>
          <w:p w14:paraId="1B230CD1" w14:textId="27D044B7" w:rsidR="00851850" w:rsidRPr="00AB425E" w:rsidRDefault="00851850" w:rsidP="008518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spellStart"/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Manifold</w:t>
            </w:r>
            <w:proofErr w:type="spellEnd"/>
          </w:p>
        </w:tc>
        <w:tc>
          <w:tcPr>
            <w:tcW w:w="4105" w:type="dxa"/>
          </w:tcPr>
          <w:p w14:paraId="2AAF6C45" w14:textId="36F902FC" w:rsidR="00851850" w:rsidRPr="00AB425E" w:rsidRDefault="00851850" w:rsidP="00851850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spacing w:after="0" w:line="240" w:lineRule="auto"/>
              <w:ind w:left="175" w:hanging="16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Ze stali nierdzewnej, monolityczny o małej objętości</w:t>
            </w:r>
            <w:r w:rsidR="003950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 podgrzewany do co najmniej 50</w:t>
            </w:r>
            <w:r w:rsidR="003950D5" w:rsidRPr="003950D5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pl-PL"/>
              </w:rPr>
              <w:t>o</w:t>
            </w: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C.</w:t>
            </w:r>
          </w:p>
        </w:tc>
      </w:tr>
      <w:tr w:rsidR="00A45BE3" w:rsidRPr="004B475B" w14:paraId="66191787" w14:textId="77777777" w:rsidTr="00EF13EE">
        <w:tc>
          <w:tcPr>
            <w:tcW w:w="2122" w:type="dxa"/>
            <w:vMerge w:val="restart"/>
          </w:tcPr>
          <w:p w14:paraId="46F83FF7" w14:textId="0FC518B6" w:rsidR="00A45BE3" w:rsidRPr="00AB425E" w:rsidRDefault="00A45BE3" w:rsidP="00EF13E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proofErr w:type="spellStart"/>
            <w:r w:rsidRPr="00AB425E">
              <w:rPr>
                <w:rFonts w:asciiTheme="minorHAnsi" w:hAnsiTheme="minorHAnsi" w:cstheme="minorHAnsi"/>
                <w:b/>
                <w:sz w:val="20"/>
                <w:szCs w:val="20"/>
              </w:rPr>
              <w:t>Zestaw</w:t>
            </w:r>
            <w:proofErr w:type="spellEnd"/>
            <w:r w:rsidRPr="00AB42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B425E">
              <w:rPr>
                <w:rFonts w:asciiTheme="minorHAnsi" w:hAnsiTheme="minorHAnsi" w:cstheme="minorHAnsi"/>
                <w:b/>
                <w:sz w:val="20"/>
                <w:szCs w:val="20"/>
              </w:rPr>
              <w:t>rejestrująco-sterujący</w:t>
            </w:r>
            <w:proofErr w:type="spellEnd"/>
          </w:p>
        </w:tc>
        <w:tc>
          <w:tcPr>
            <w:tcW w:w="2835" w:type="dxa"/>
            <w:vAlign w:val="center"/>
          </w:tcPr>
          <w:p w14:paraId="3CBAAEBD" w14:textId="3D4CD28C" w:rsidR="00A45BE3" w:rsidRPr="00AB425E" w:rsidRDefault="008972EA" w:rsidP="0085185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AB425E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S</w:t>
            </w:r>
            <w:r w:rsidR="00A45BE3" w:rsidRPr="00AB425E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tacja robocza</w:t>
            </w:r>
          </w:p>
        </w:tc>
        <w:tc>
          <w:tcPr>
            <w:tcW w:w="4105" w:type="dxa"/>
          </w:tcPr>
          <w:p w14:paraId="60CE517D" w14:textId="6F9F0895" w:rsidR="00A45BE3" w:rsidRPr="00AB425E" w:rsidRDefault="00A45BE3" w:rsidP="00672A6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AB425E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 xml:space="preserve"> </w:t>
            </w: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 oprogramowaniem do</w:t>
            </w:r>
            <w:r w:rsidR="00672A6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gromadzenia i obróbki danych</w:t>
            </w:r>
          </w:p>
        </w:tc>
      </w:tr>
      <w:tr w:rsidR="00A45BE3" w:rsidRPr="004B475B" w14:paraId="4D18B19D" w14:textId="77777777" w:rsidTr="00E01DD1">
        <w:tc>
          <w:tcPr>
            <w:tcW w:w="2122" w:type="dxa"/>
            <w:vMerge/>
          </w:tcPr>
          <w:p w14:paraId="6BA87E31" w14:textId="7944D09D" w:rsidR="00A45BE3" w:rsidRPr="00AB425E" w:rsidRDefault="00A45BE3" w:rsidP="0085185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</w:tcPr>
          <w:p w14:paraId="39FE0A13" w14:textId="03611DE6" w:rsidR="00A45BE3" w:rsidRPr="00AB425E" w:rsidRDefault="008972EA" w:rsidP="0085185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AB425E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O</w:t>
            </w:r>
            <w:r w:rsidR="00A45BE3" w:rsidRPr="00AB425E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programowanie sterujące i analityczne</w:t>
            </w:r>
          </w:p>
        </w:tc>
        <w:tc>
          <w:tcPr>
            <w:tcW w:w="4105" w:type="dxa"/>
          </w:tcPr>
          <w:p w14:paraId="405961BE" w14:textId="022FC351" w:rsidR="00A45BE3" w:rsidRPr="00AB425E" w:rsidRDefault="004B475B" w:rsidP="00851850">
            <w:pPr>
              <w:spacing w:after="0" w:line="240" w:lineRule="auto"/>
              <w:ind w:left="5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</w:t>
            </w:r>
            <w:r w:rsidR="00A45BE3" w:rsidRPr="00AB425E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parte na interaktywnej, graficznej redukcji i raportowaniu danych, posiadające co najmniej poniższe parametry:</w:t>
            </w:r>
          </w:p>
          <w:p w14:paraId="4C0A4F59" w14:textId="25CC89F1" w:rsidR="00A45BE3" w:rsidRPr="00AB425E" w:rsidRDefault="00A45BE3" w:rsidP="008518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izotermy: ciśnienia względnego, ciśnienia absolutnego, pojemności ciśnieniowej, adsorpcji, desorpcji, referencyjna</w:t>
            </w:r>
            <w:r w:rsidR="0076600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</w:t>
            </w:r>
          </w:p>
          <w:p w14:paraId="056A3F3E" w14:textId="32D499ED" w:rsidR="00A45BE3" w:rsidRPr="00AB425E" w:rsidRDefault="00A45BE3" w:rsidP="008518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powierzchnia </w:t>
            </w:r>
            <w:r w:rsidR="003950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właściwa metodą: </w:t>
            </w:r>
            <w:proofErr w:type="spellStart"/>
            <w:r w:rsidR="003950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Langmuira</w:t>
            </w:r>
            <w:proofErr w:type="spellEnd"/>
            <w:r w:rsidR="003950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 BET</w:t>
            </w: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3950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</w:t>
            </w: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jedno i wielopunktowa</w:t>
            </w:r>
            <w:r w:rsidR="0076600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</w:t>
            </w: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Freundlich</w:t>
            </w:r>
            <w:proofErr w:type="spellEnd"/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&amp; </w:t>
            </w:r>
            <w:proofErr w:type="spellStart"/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Temkin</w:t>
            </w:r>
            <w:proofErr w:type="spellEnd"/>
            <w:r w:rsidR="0076600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</w:t>
            </w:r>
          </w:p>
          <w:p w14:paraId="53AFC79E" w14:textId="77777777" w:rsidR="00AB425E" w:rsidRDefault="00A45BE3" w:rsidP="008518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parametry </w:t>
            </w:r>
            <w:proofErr w:type="spellStart"/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mezoporów</w:t>
            </w:r>
            <w:proofErr w:type="spellEnd"/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metodą BJH wraz z modyfikacją Kruk-</w:t>
            </w:r>
            <w:proofErr w:type="spellStart"/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Jaroniec</w:t>
            </w:r>
            <w:proofErr w:type="spellEnd"/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</w:t>
            </w:r>
            <w:proofErr w:type="spellStart"/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Sayari</w:t>
            </w:r>
            <w:proofErr w:type="spellEnd"/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Broekhoff</w:t>
            </w:r>
            <w:proofErr w:type="spellEnd"/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-de </w:t>
            </w:r>
            <w:proofErr w:type="spellStart"/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Boer</w:t>
            </w:r>
            <w:proofErr w:type="spellEnd"/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z algorytmem wyliczania STSA (dla węgla aktywnego i sadzy), z korekcją </w:t>
            </w:r>
            <w:proofErr w:type="spellStart"/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Fass</w:t>
            </w:r>
            <w:proofErr w:type="spellEnd"/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</w:t>
            </w:r>
          </w:p>
          <w:p w14:paraId="68A73662" w14:textId="2121D57E" w:rsidR="00A45BE3" w:rsidRPr="00AB425E" w:rsidRDefault="00A45BE3" w:rsidP="00AB425E">
            <w:pPr>
              <w:pStyle w:val="Akapitzlist"/>
              <w:spacing w:after="0" w:line="240" w:lineRule="auto"/>
              <w:ind w:left="17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D-H</w:t>
            </w:r>
            <w:r w:rsidR="0076600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</w:t>
            </w:r>
          </w:p>
          <w:p w14:paraId="196494C9" w14:textId="2A0805B0" w:rsidR="00A45BE3" w:rsidRPr="00AB425E" w:rsidRDefault="00A45BE3" w:rsidP="008518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parametry </w:t>
            </w:r>
            <w:proofErr w:type="spellStart"/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mikroporów</w:t>
            </w:r>
            <w:proofErr w:type="spellEnd"/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metodą: </w:t>
            </w:r>
            <w:proofErr w:type="spellStart"/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Dubinin-Radushkevich</w:t>
            </w:r>
            <w:proofErr w:type="spellEnd"/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Dubinin-Astakhov</w:t>
            </w:r>
            <w:proofErr w:type="spellEnd"/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MP, t-plot, αs Plot, f-Ratio plot, </w:t>
            </w:r>
            <w:proofErr w:type="spellStart"/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Horwath-Kawazoe</w:t>
            </w:r>
            <w:proofErr w:type="spellEnd"/>
            <w:r w:rsidR="0076600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</w:t>
            </w:r>
          </w:p>
          <w:p w14:paraId="558393D6" w14:textId="10CEEC49" w:rsidR="00A45BE3" w:rsidRPr="00AB425E" w:rsidRDefault="00A45BE3" w:rsidP="007663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całkowita objętość porów</w:t>
            </w:r>
            <w:r w:rsidR="0076600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</w:t>
            </w: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</w:p>
          <w:p w14:paraId="2EF62CCA" w14:textId="6D4B5A99" w:rsidR="00A45BE3" w:rsidRPr="00AB425E" w:rsidRDefault="00A45BE3" w:rsidP="007663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ciepło adsorpcji</w:t>
            </w:r>
            <w:r w:rsidR="0076600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</w:t>
            </w:r>
          </w:p>
          <w:p w14:paraId="18B08FE4" w14:textId="5754E785" w:rsidR="00A45BE3" w:rsidRPr="00AB425E" w:rsidRDefault="00A45BE3" w:rsidP="007663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DFT (</w:t>
            </w:r>
            <w:proofErr w:type="spellStart"/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Density</w:t>
            </w:r>
            <w:proofErr w:type="spellEnd"/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Functional</w:t>
            </w:r>
            <w:proofErr w:type="spellEnd"/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Theory</w:t>
            </w:r>
            <w:proofErr w:type="spellEnd"/>
            <w:r w:rsidR="0076600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), NLDFT, 2D-NLDFT – modele </w:t>
            </w: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do analizy </w:t>
            </w:r>
            <w:proofErr w:type="spellStart"/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nanoporowatej</w:t>
            </w:r>
            <w:proofErr w:type="spellEnd"/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struktury materiałów przy zastosowaniu molekularn</w:t>
            </w:r>
            <w:r w:rsidR="0076600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ych modeli adsorpcyjnych. </w:t>
            </w:r>
            <w:r w:rsidR="0076600C" w:rsidRPr="004B475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Modele</w:t>
            </w:r>
            <w:r w:rsidRPr="004B475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powinny być „otwarte” dla użytkow</w:t>
            </w: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nika dając możliwość przeliczania wg co najmniej 50 lub więcej modeli. Dopuszcza się zaoferowanie innych modeli jako uzupełniających, ale nie za</w:t>
            </w:r>
            <w:r w:rsidR="0076600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stępczych do wyżej wymienionych,</w:t>
            </w:r>
          </w:p>
          <w:p w14:paraId="264A909C" w14:textId="6F42B30A" w:rsidR="00A45BE3" w:rsidRPr="00AB425E" w:rsidRDefault="00A45BE3" w:rsidP="007663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model do analizy danych z pomiaru sorpcji CO</w:t>
            </w:r>
            <w:r w:rsidRPr="00AB425E">
              <w:rPr>
                <w:rFonts w:asciiTheme="minorHAnsi" w:hAnsiTheme="minorHAnsi" w:cstheme="minorHAnsi"/>
                <w:sz w:val="20"/>
                <w:szCs w:val="20"/>
                <w:vertAlign w:val="subscript"/>
                <w:lang w:val="pl-PL"/>
              </w:rPr>
              <w:t>2</w:t>
            </w: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 temperaturze 273K </w:t>
            </w:r>
            <w:r w:rsidR="0076600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</w:t>
            </w: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</w:p>
          <w:p w14:paraId="3196D462" w14:textId="6CDB706E" w:rsidR="00A45BE3" w:rsidRPr="00AB425E" w:rsidRDefault="00A45BE3" w:rsidP="007663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Model do pomiaru powierzchni właściwej łączący dane z adsorpcji CO</w:t>
            </w:r>
            <w:r w:rsidRPr="00AB425E">
              <w:rPr>
                <w:rFonts w:asciiTheme="minorHAnsi" w:hAnsiTheme="minorHAnsi" w:cstheme="minorHAnsi"/>
                <w:sz w:val="20"/>
                <w:szCs w:val="20"/>
                <w:vertAlign w:val="subscript"/>
                <w:lang w:val="pl-PL"/>
              </w:rPr>
              <w:t>2</w:t>
            </w: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 temperaturze 273K i adsorpcji N</w:t>
            </w:r>
            <w:r w:rsidRPr="00AB425E">
              <w:rPr>
                <w:rFonts w:asciiTheme="minorHAnsi" w:hAnsiTheme="minorHAnsi" w:cstheme="minorHAnsi"/>
                <w:sz w:val="20"/>
                <w:szCs w:val="20"/>
                <w:vertAlign w:val="subscript"/>
                <w:lang w:val="pl-PL"/>
              </w:rPr>
              <w:t>2</w:t>
            </w: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 temperaturze 77K</w:t>
            </w:r>
            <w:r w:rsidR="0076600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</w:t>
            </w:r>
          </w:p>
          <w:p w14:paraId="0F3D5219" w14:textId="39751815" w:rsidR="00A45BE3" w:rsidRPr="00AB425E" w:rsidRDefault="00A45BE3" w:rsidP="002300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nakładania i łączenia danych uzyskanych z innych metod analizy porowatości  na jednym wykresie</w:t>
            </w:r>
            <w:r w:rsidR="0076600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</w:t>
            </w:r>
          </w:p>
          <w:p w14:paraId="14AA25AC" w14:textId="5C29BBAA" w:rsidR="00A45BE3" w:rsidRPr="00AB425E" w:rsidRDefault="00A45BE3" w:rsidP="002300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zautomatyzowana funkcja oprogramowania pozwalająca na uzyskanie wyniku BET bez ingerencji użytkownika w parametry</w:t>
            </w:r>
            <w:r w:rsidR="0076600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</w:t>
            </w:r>
          </w:p>
          <w:p w14:paraId="43F7188C" w14:textId="48114106" w:rsidR="00A45BE3" w:rsidRPr="00AB425E" w:rsidRDefault="00A45BE3" w:rsidP="007663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automatycznego tworzenia nowej metody pomiarowej poprzez podanie postaci próbki, maksymalnej temperatury odgazowania, rodzaju gazu analitycznego i wyboru obliczanych parametrów</w:t>
            </w:r>
            <w:r w:rsidR="0076600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</w:t>
            </w:r>
          </w:p>
          <w:p w14:paraId="24E1074D" w14:textId="58F85BF8" w:rsidR="00A45BE3" w:rsidRPr="00AB425E" w:rsidRDefault="00A45BE3" w:rsidP="007663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oprogramowanie do chemisorpcji gazów umożliwiające obliczenie: wielkości powierzchni fazy aktywnej, procentowej dyspersji metalu, rozmiaru krystalitu, ciepła chemisorpcji</w:t>
            </w:r>
            <w:r w:rsidR="0076600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</w:t>
            </w:r>
          </w:p>
          <w:p w14:paraId="14443983" w14:textId="77777777" w:rsidR="0076600C" w:rsidRDefault="00A45BE3" w:rsidP="0076600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nakładania co najmniej 30 wykresów</w:t>
            </w:r>
            <w:r w:rsidR="0076600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</w:t>
            </w:r>
            <w:r w:rsidR="0076600C"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</w:p>
          <w:p w14:paraId="6B503EB9" w14:textId="0D42F2DD" w:rsidR="00A45BE3" w:rsidRPr="0076600C" w:rsidRDefault="0076600C" w:rsidP="0076600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edycja raportów na ekranie oraz prosty eksport danych do innych formatów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</w:t>
            </w:r>
          </w:p>
          <w:p w14:paraId="552F8031" w14:textId="6ED97B9D" w:rsidR="00A45BE3" w:rsidRPr="00AB425E" w:rsidRDefault="00A45BE3" w:rsidP="007663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425E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format raportów graficzny w skali liniowej lub logarytmicznej w całym zakresie lub na wycinkach zakresu w zależności od potrzeby, oraz tabelarycznie w żądanej i ustawialnej konfiguracji tabeli</w:t>
            </w:r>
            <w:r w:rsidR="0076600C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,</w:t>
            </w:r>
          </w:p>
          <w:p w14:paraId="61D54082" w14:textId="5C6BCD4B" w:rsidR="00A45BE3" w:rsidRPr="00AB425E" w:rsidRDefault="00A45BE3" w:rsidP="00064E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panel kontrolny do monitorowania stanu urządzenia i wymagań serwisowych wraz z co naj</w:t>
            </w:r>
            <w:r w:rsidR="0076600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mniej 9 testami diagnostycznymi.</w:t>
            </w:r>
          </w:p>
        </w:tc>
      </w:tr>
      <w:tr w:rsidR="00A45BE3" w:rsidRPr="004B475B" w14:paraId="46FA3FF7" w14:textId="77777777" w:rsidTr="00224D91">
        <w:tc>
          <w:tcPr>
            <w:tcW w:w="2122" w:type="dxa"/>
            <w:vMerge/>
          </w:tcPr>
          <w:p w14:paraId="1BABDBA0" w14:textId="77777777" w:rsidR="00A45BE3" w:rsidRPr="00AB425E" w:rsidRDefault="00A45BE3" w:rsidP="00064E8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</w:tcPr>
          <w:p w14:paraId="2B1548D1" w14:textId="35DF38DB" w:rsidR="00A45BE3" w:rsidRPr="00AB425E" w:rsidRDefault="008972EA" w:rsidP="00064E8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</w:t>
            </w:r>
            <w:r w:rsidR="00A45BE3"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icencj</w:t>
            </w: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a na </w:t>
            </w:r>
            <w:r w:rsidR="00A45BE3"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oprogramowani</w:t>
            </w: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</w:t>
            </w:r>
            <w:r w:rsidR="00A45BE3"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do analizy danych</w:t>
            </w:r>
          </w:p>
        </w:tc>
        <w:tc>
          <w:tcPr>
            <w:tcW w:w="4105" w:type="dxa"/>
          </w:tcPr>
          <w:p w14:paraId="6A973C89" w14:textId="786E3394" w:rsidR="00A45BE3" w:rsidRPr="00AB425E" w:rsidRDefault="0076600C" w:rsidP="00064E81">
            <w:pPr>
              <w:spacing w:after="0" w:line="240" w:lineRule="auto"/>
              <w:ind w:left="5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Pełna</w:t>
            </w:r>
            <w:r w:rsidR="00A45BE3"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na dowolną ilość komputerów, w tym innych niż sterujący pomiarem.</w:t>
            </w:r>
          </w:p>
        </w:tc>
      </w:tr>
      <w:tr w:rsidR="008972EA" w14:paraId="23C396F2" w14:textId="77777777" w:rsidTr="00E01DD1">
        <w:tc>
          <w:tcPr>
            <w:tcW w:w="2122" w:type="dxa"/>
            <w:vMerge w:val="restart"/>
          </w:tcPr>
          <w:p w14:paraId="10AE8579" w14:textId="5F98EB74" w:rsidR="008972EA" w:rsidRPr="00AB425E" w:rsidRDefault="008972EA" w:rsidP="00A45BE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 w:rsidRPr="00AB42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Materiały</w:t>
            </w:r>
            <w:proofErr w:type="spellEnd"/>
            <w:r w:rsidRPr="00AB42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42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eksploatacyjne</w:t>
            </w:r>
            <w:proofErr w:type="spellEnd"/>
            <w:r w:rsidRPr="00AB42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12431E45" w14:textId="02EF34D2" w:rsidR="008972EA" w:rsidRPr="00AB425E" w:rsidRDefault="008972EA" w:rsidP="00A45BE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Tulejki, uszczelki, o-ringi, płaszcze izotermiczne, rurki na próbki </w:t>
            </w:r>
          </w:p>
        </w:tc>
        <w:tc>
          <w:tcPr>
            <w:tcW w:w="4105" w:type="dxa"/>
          </w:tcPr>
          <w:p w14:paraId="33ECF018" w14:textId="348E1743" w:rsidR="008972EA" w:rsidRPr="00AB425E" w:rsidRDefault="008972EA" w:rsidP="00672A6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Zestaw dodatkowy pozwalający na eksploatację w czasie trwania gwarancji. Zestaw dla obydwu opcji aparatu: sorpcja fizyczna i chemisorpcja. </w:t>
            </w:r>
            <w:r w:rsidR="00672A6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Urządzenie będzie wykonywać około 5 analiz tygodniowo</w:t>
            </w:r>
          </w:p>
        </w:tc>
      </w:tr>
      <w:tr w:rsidR="008972EA" w:rsidRPr="004B475B" w14:paraId="6428F10E" w14:textId="77777777" w:rsidTr="00E01DD1">
        <w:tc>
          <w:tcPr>
            <w:tcW w:w="2122" w:type="dxa"/>
            <w:vMerge/>
          </w:tcPr>
          <w:p w14:paraId="07712841" w14:textId="77777777" w:rsidR="008972EA" w:rsidRPr="00AB425E" w:rsidRDefault="008972EA" w:rsidP="00A45BE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</w:tcPr>
          <w:p w14:paraId="1B21F4E5" w14:textId="0A2E61E7" w:rsidR="008972EA" w:rsidRPr="00AB425E" w:rsidRDefault="008972EA" w:rsidP="00A45BE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proofErr w:type="spellStart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>Reduktory</w:t>
            </w:r>
            <w:proofErr w:type="spellEnd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>ciśnienia</w:t>
            </w:r>
            <w:proofErr w:type="spellEnd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>gazów</w:t>
            </w:r>
            <w:proofErr w:type="spellEnd"/>
          </w:p>
        </w:tc>
        <w:tc>
          <w:tcPr>
            <w:tcW w:w="4105" w:type="dxa"/>
          </w:tcPr>
          <w:p w14:paraId="60A7C9E8" w14:textId="0BFDF3CF" w:rsidR="008972EA" w:rsidRPr="00AB425E" w:rsidRDefault="008972EA" w:rsidP="008972EA">
            <w:pPr>
              <w:pStyle w:val="Tekstpodstawowy"/>
              <w:numPr>
                <w:ilvl w:val="0"/>
                <w:numId w:val="8"/>
              </w:numPr>
              <w:ind w:left="175" w:hanging="175"/>
              <w:rPr>
                <w:rFonts w:asciiTheme="minorHAnsi" w:hAnsiTheme="minorHAnsi" w:cstheme="minorHAnsi"/>
                <w:sz w:val="20"/>
              </w:rPr>
            </w:pPr>
            <w:r w:rsidRPr="00AB425E">
              <w:rPr>
                <w:rFonts w:asciiTheme="minorHAnsi" w:hAnsiTheme="minorHAnsi" w:cstheme="minorHAnsi"/>
                <w:sz w:val="20"/>
              </w:rPr>
              <w:t xml:space="preserve">reduktor ciśnienia He (mosiądz) wraz ze złączką i zaworem nadmiarowym </w:t>
            </w:r>
          </w:p>
          <w:p w14:paraId="1FF9B69B" w14:textId="2C205624" w:rsidR="008972EA" w:rsidRPr="00AB425E" w:rsidRDefault="008972EA" w:rsidP="008972EA">
            <w:pPr>
              <w:pStyle w:val="Tekstpodstawowy"/>
              <w:numPr>
                <w:ilvl w:val="0"/>
                <w:numId w:val="8"/>
              </w:numPr>
              <w:ind w:left="175" w:hanging="175"/>
              <w:rPr>
                <w:rFonts w:asciiTheme="minorHAnsi" w:hAnsiTheme="minorHAnsi" w:cstheme="minorHAnsi"/>
                <w:sz w:val="20"/>
              </w:rPr>
            </w:pPr>
            <w:r w:rsidRPr="00AB425E">
              <w:rPr>
                <w:rFonts w:asciiTheme="minorHAnsi" w:hAnsiTheme="minorHAnsi" w:cstheme="minorHAnsi"/>
                <w:sz w:val="20"/>
              </w:rPr>
              <w:t>reduktor ciśnienia N</w:t>
            </w:r>
            <w:r w:rsidRPr="00AB425E">
              <w:rPr>
                <w:rFonts w:asciiTheme="minorHAnsi" w:hAnsiTheme="minorHAnsi" w:cstheme="minorHAnsi"/>
                <w:sz w:val="20"/>
                <w:vertAlign w:val="subscript"/>
              </w:rPr>
              <w:t>2</w:t>
            </w:r>
            <w:r w:rsidRPr="00AB425E">
              <w:rPr>
                <w:rFonts w:asciiTheme="minorHAnsi" w:hAnsiTheme="minorHAnsi" w:cstheme="minorHAnsi"/>
                <w:sz w:val="20"/>
              </w:rPr>
              <w:t xml:space="preserve"> (mosiądz) wraz ze złączką i zaworem nadmiarowym  </w:t>
            </w:r>
          </w:p>
          <w:p w14:paraId="49DF0C4F" w14:textId="5239F3D2" w:rsidR="008972EA" w:rsidRPr="00AB425E" w:rsidRDefault="008972EA" w:rsidP="008972EA">
            <w:pPr>
              <w:pStyle w:val="Tekstpodstawowy"/>
              <w:numPr>
                <w:ilvl w:val="0"/>
                <w:numId w:val="8"/>
              </w:numPr>
              <w:ind w:left="175" w:hanging="175"/>
              <w:rPr>
                <w:rFonts w:asciiTheme="minorHAnsi" w:hAnsiTheme="minorHAnsi" w:cstheme="minorHAnsi"/>
                <w:sz w:val="20"/>
              </w:rPr>
            </w:pPr>
            <w:r w:rsidRPr="00AB425E">
              <w:rPr>
                <w:rFonts w:asciiTheme="minorHAnsi" w:hAnsiTheme="minorHAnsi" w:cstheme="minorHAnsi"/>
                <w:sz w:val="20"/>
              </w:rPr>
              <w:t>reduktor ciśnienia CO</w:t>
            </w:r>
            <w:r w:rsidRPr="00AB425E">
              <w:rPr>
                <w:rFonts w:asciiTheme="minorHAnsi" w:hAnsiTheme="minorHAnsi" w:cstheme="minorHAnsi"/>
                <w:sz w:val="20"/>
                <w:vertAlign w:val="subscript"/>
              </w:rPr>
              <w:t>2</w:t>
            </w:r>
            <w:r w:rsidRPr="00AB425E">
              <w:rPr>
                <w:rFonts w:asciiTheme="minorHAnsi" w:hAnsiTheme="minorHAnsi" w:cstheme="minorHAnsi"/>
                <w:sz w:val="20"/>
              </w:rPr>
              <w:t xml:space="preserve"> (mosiądz)                                                       </w:t>
            </w:r>
          </w:p>
          <w:p w14:paraId="0CE80ECA" w14:textId="366EB3EF" w:rsidR="008972EA" w:rsidRPr="00AB425E" w:rsidRDefault="008972EA" w:rsidP="008972EA">
            <w:pPr>
              <w:pStyle w:val="Tekstpodstawowy"/>
              <w:numPr>
                <w:ilvl w:val="0"/>
                <w:numId w:val="8"/>
              </w:numPr>
              <w:ind w:left="175" w:hanging="175"/>
              <w:rPr>
                <w:rFonts w:asciiTheme="minorHAnsi" w:hAnsiTheme="minorHAnsi" w:cstheme="minorHAnsi"/>
                <w:sz w:val="20"/>
              </w:rPr>
            </w:pPr>
            <w:r w:rsidRPr="00AB425E">
              <w:rPr>
                <w:rFonts w:asciiTheme="minorHAnsi" w:hAnsiTheme="minorHAnsi" w:cstheme="minorHAnsi"/>
                <w:sz w:val="20"/>
              </w:rPr>
              <w:t>reduktor ciśnienia H</w:t>
            </w:r>
            <w:r w:rsidRPr="00AB425E">
              <w:rPr>
                <w:rFonts w:asciiTheme="minorHAnsi" w:hAnsiTheme="minorHAnsi" w:cstheme="minorHAnsi"/>
                <w:sz w:val="20"/>
                <w:vertAlign w:val="subscript"/>
              </w:rPr>
              <w:t>2</w:t>
            </w:r>
            <w:r w:rsidRPr="00AB425E">
              <w:rPr>
                <w:rFonts w:asciiTheme="minorHAnsi" w:hAnsiTheme="minorHAnsi" w:cstheme="minorHAnsi"/>
                <w:sz w:val="20"/>
              </w:rPr>
              <w:t xml:space="preserve"> (mosiądz)                                                          </w:t>
            </w:r>
          </w:p>
          <w:p w14:paraId="3D8C17ED" w14:textId="146B2CC3" w:rsidR="008972EA" w:rsidRPr="00AB425E" w:rsidRDefault="00BF122C" w:rsidP="008972EA">
            <w:pPr>
              <w:pStyle w:val="Tekstpodstawowy"/>
              <w:numPr>
                <w:ilvl w:val="0"/>
                <w:numId w:val="8"/>
              </w:numPr>
              <w:ind w:left="175" w:hanging="17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reduktor ciśnienia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air</w:t>
            </w:r>
            <w:proofErr w:type="spellEnd"/>
            <w:r w:rsidR="008972EA" w:rsidRPr="00AB425E">
              <w:rPr>
                <w:rFonts w:asciiTheme="minorHAnsi" w:hAnsiTheme="minorHAnsi" w:cstheme="minorHAnsi"/>
                <w:sz w:val="20"/>
              </w:rPr>
              <w:t xml:space="preserve"> (mosiądz) </w:t>
            </w:r>
          </w:p>
          <w:p w14:paraId="00BCC046" w14:textId="72AD2DFB" w:rsidR="008972EA" w:rsidRPr="00AB425E" w:rsidRDefault="008972EA" w:rsidP="008972E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75" w:hanging="1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 xml:space="preserve">dzielnik przepływów gazów z zaworem odcinającym                                                                </w:t>
            </w:r>
          </w:p>
        </w:tc>
      </w:tr>
      <w:tr w:rsidR="00064E81" w:rsidRPr="004B475B" w14:paraId="2AE0DEF8" w14:textId="77777777" w:rsidTr="00CA01B0">
        <w:tc>
          <w:tcPr>
            <w:tcW w:w="2122" w:type="dxa"/>
          </w:tcPr>
          <w:p w14:paraId="25054C1E" w14:textId="7A9F4F33" w:rsidR="00064E81" w:rsidRPr="00AB425E" w:rsidRDefault="00064E81" w:rsidP="00AB42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AB425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lastRenderedPageBreak/>
              <w:t xml:space="preserve">Zbiornik magazynowy na ciekły azot </w:t>
            </w:r>
          </w:p>
        </w:tc>
        <w:tc>
          <w:tcPr>
            <w:tcW w:w="2835" w:type="dxa"/>
            <w:vAlign w:val="center"/>
          </w:tcPr>
          <w:p w14:paraId="5745D09F" w14:textId="4CAE478C" w:rsidR="00064E81" w:rsidRPr="00AB425E" w:rsidRDefault="00064E81" w:rsidP="00064E8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proofErr w:type="spellStart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>Naczynie</w:t>
            </w:r>
            <w:proofErr w:type="spellEnd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>typu</w:t>
            </w:r>
            <w:proofErr w:type="spellEnd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>dewar</w:t>
            </w:r>
            <w:proofErr w:type="spellEnd"/>
          </w:p>
        </w:tc>
        <w:tc>
          <w:tcPr>
            <w:tcW w:w="4105" w:type="dxa"/>
            <w:vAlign w:val="center"/>
          </w:tcPr>
          <w:p w14:paraId="2C6146AB" w14:textId="54FBA58B" w:rsidR="00064E81" w:rsidRPr="00AB425E" w:rsidRDefault="00064E81" w:rsidP="00064E8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Przenośne o pojemność min. 4 litry z korkiem. </w:t>
            </w:r>
          </w:p>
        </w:tc>
      </w:tr>
      <w:tr w:rsidR="00064E81" w14:paraId="19BD977B" w14:textId="77777777" w:rsidTr="00E01DD1">
        <w:tc>
          <w:tcPr>
            <w:tcW w:w="2122" w:type="dxa"/>
            <w:vMerge w:val="restart"/>
            <w:vAlign w:val="center"/>
          </w:tcPr>
          <w:p w14:paraId="0891E6C1" w14:textId="50E0F6A9" w:rsidR="00064E81" w:rsidRPr="00AB425E" w:rsidRDefault="00064E81" w:rsidP="00064E8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 w:rsidRPr="00AB42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Warunki</w:t>
            </w:r>
            <w:proofErr w:type="spellEnd"/>
            <w:r w:rsidRPr="00AB42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42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pracy</w:t>
            </w:r>
            <w:proofErr w:type="spellEnd"/>
            <w:r w:rsidRPr="00AB42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42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urządzenia</w:t>
            </w:r>
            <w:proofErr w:type="spellEnd"/>
          </w:p>
        </w:tc>
        <w:tc>
          <w:tcPr>
            <w:tcW w:w="2835" w:type="dxa"/>
          </w:tcPr>
          <w:p w14:paraId="604E2A1A" w14:textId="44F7F66A" w:rsidR="00064E81" w:rsidRPr="00AB425E" w:rsidRDefault="00064E81" w:rsidP="00064E8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Temperatura pracy</w:t>
            </w:r>
          </w:p>
        </w:tc>
        <w:tc>
          <w:tcPr>
            <w:tcW w:w="4105" w:type="dxa"/>
          </w:tcPr>
          <w:p w14:paraId="31B2218B" w14:textId="28D46A74" w:rsidR="00064E81" w:rsidRPr="00AB425E" w:rsidRDefault="00064E81" w:rsidP="00064E8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AB425E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 xml:space="preserve">co najmniej zakres: </w:t>
            </w: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10 ÷ 30</w:t>
            </w:r>
            <w:r w:rsidRPr="00AB425E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pl-PL"/>
              </w:rPr>
              <w:t>o</w:t>
            </w: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</w:t>
            </w:r>
          </w:p>
        </w:tc>
      </w:tr>
      <w:tr w:rsidR="00064E81" w14:paraId="3D5DD933" w14:textId="77777777" w:rsidTr="00E01DD1">
        <w:tc>
          <w:tcPr>
            <w:tcW w:w="2122" w:type="dxa"/>
            <w:vMerge/>
            <w:vAlign w:val="center"/>
          </w:tcPr>
          <w:p w14:paraId="19691630" w14:textId="77777777" w:rsidR="00064E81" w:rsidRPr="00AB425E" w:rsidRDefault="00064E81" w:rsidP="00064E8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</w:tcPr>
          <w:p w14:paraId="6F84F45E" w14:textId="0B4FBE35" w:rsidR="00064E81" w:rsidRPr="00AB425E" w:rsidRDefault="008972EA" w:rsidP="00064E8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Wilgotność względna</w:t>
            </w:r>
          </w:p>
        </w:tc>
        <w:tc>
          <w:tcPr>
            <w:tcW w:w="4105" w:type="dxa"/>
          </w:tcPr>
          <w:p w14:paraId="5A9FBE8C" w14:textId="0D40B154" w:rsidR="00064E81" w:rsidRPr="00AB425E" w:rsidRDefault="008972EA" w:rsidP="00064E8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AB42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20 - 80%</w:t>
            </w:r>
          </w:p>
        </w:tc>
      </w:tr>
      <w:tr w:rsidR="00064E81" w14:paraId="70410C74" w14:textId="77777777" w:rsidTr="00E01DD1">
        <w:tc>
          <w:tcPr>
            <w:tcW w:w="2122" w:type="dxa"/>
            <w:vMerge w:val="restart"/>
            <w:vAlign w:val="center"/>
          </w:tcPr>
          <w:p w14:paraId="54625949" w14:textId="53AE0753" w:rsidR="00064E81" w:rsidRPr="00AB425E" w:rsidRDefault="00064E81" w:rsidP="00064E8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 w:rsidRPr="00AB42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Zasilanie</w:t>
            </w:r>
            <w:proofErr w:type="spellEnd"/>
          </w:p>
        </w:tc>
        <w:tc>
          <w:tcPr>
            <w:tcW w:w="2835" w:type="dxa"/>
          </w:tcPr>
          <w:p w14:paraId="5C08249A" w14:textId="5564078E" w:rsidR="00064E81" w:rsidRPr="00AB425E" w:rsidRDefault="00064E81" w:rsidP="00064E81">
            <w:pPr>
              <w:spacing w:after="0" w:line="240" w:lineRule="auto"/>
              <w:ind w:left="35" w:hanging="3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Napięcie:</w:t>
            </w:r>
          </w:p>
        </w:tc>
        <w:tc>
          <w:tcPr>
            <w:tcW w:w="4105" w:type="dxa"/>
          </w:tcPr>
          <w:p w14:paraId="3F71150B" w14:textId="2ACB149E" w:rsidR="00064E81" w:rsidRPr="00AB425E" w:rsidRDefault="00064E81" w:rsidP="00064E8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230 VAC</w:t>
            </w:r>
          </w:p>
        </w:tc>
      </w:tr>
      <w:tr w:rsidR="00064E81" w14:paraId="611E36D2" w14:textId="77777777" w:rsidTr="00E01DD1">
        <w:tc>
          <w:tcPr>
            <w:tcW w:w="2122" w:type="dxa"/>
            <w:vMerge/>
          </w:tcPr>
          <w:p w14:paraId="0A87A698" w14:textId="77777777" w:rsidR="00064E81" w:rsidRPr="00AB425E" w:rsidRDefault="00064E81" w:rsidP="00064E8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</w:tcPr>
          <w:p w14:paraId="110ED0CA" w14:textId="63B69E73" w:rsidR="00064E81" w:rsidRPr="00AB425E" w:rsidRDefault="00064E81" w:rsidP="00064E8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Częstotliwość</w:t>
            </w:r>
          </w:p>
        </w:tc>
        <w:tc>
          <w:tcPr>
            <w:tcW w:w="4105" w:type="dxa"/>
          </w:tcPr>
          <w:p w14:paraId="006C985F" w14:textId="7D2082F6" w:rsidR="00064E81" w:rsidRPr="00AB425E" w:rsidRDefault="00064E81" w:rsidP="00064E8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50 </w:t>
            </w:r>
            <w:proofErr w:type="spellStart"/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Hz</w:t>
            </w:r>
            <w:proofErr w:type="spellEnd"/>
          </w:p>
        </w:tc>
      </w:tr>
      <w:tr w:rsidR="00064E81" w:rsidRPr="004B475B" w14:paraId="4AA59BA8" w14:textId="77777777" w:rsidTr="00E01DD1">
        <w:tc>
          <w:tcPr>
            <w:tcW w:w="2122" w:type="dxa"/>
            <w:vMerge w:val="restart"/>
            <w:vAlign w:val="center"/>
          </w:tcPr>
          <w:p w14:paraId="5F2A0CFA" w14:textId="565BEAA5" w:rsidR="00064E81" w:rsidRPr="00AB425E" w:rsidRDefault="00064E81" w:rsidP="00064E8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 w:rsidRPr="00AB42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Gwarancja</w:t>
            </w:r>
            <w:proofErr w:type="spellEnd"/>
          </w:p>
        </w:tc>
        <w:tc>
          <w:tcPr>
            <w:tcW w:w="2835" w:type="dxa"/>
            <w:vAlign w:val="center"/>
          </w:tcPr>
          <w:p w14:paraId="6B40AD55" w14:textId="4D79E816" w:rsidR="00064E81" w:rsidRPr="00AB425E" w:rsidRDefault="008972EA" w:rsidP="00064E8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AB425E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O</w:t>
            </w:r>
            <w:r w:rsidR="00064E81" w:rsidRPr="00AB425E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kres</w:t>
            </w:r>
          </w:p>
        </w:tc>
        <w:tc>
          <w:tcPr>
            <w:tcW w:w="4105" w:type="dxa"/>
          </w:tcPr>
          <w:p w14:paraId="2B467FE7" w14:textId="5E978308" w:rsidR="00064E81" w:rsidRPr="00AB425E" w:rsidRDefault="00064E81" w:rsidP="00064E8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co najmniej 24 miesiące liczone od daty podpisania protokołu przyjęcia sprzętu</w:t>
            </w:r>
          </w:p>
        </w:tc>
      </w:tr>
      <w:tr w:rsidR="008972EA" w14:paraId="3571DEA7" w14:textId="77777777" w:rsidTr="00E01DD1">
        <w:tc>
          <w:tcPr>
            <w:tcW w:w="2122" w:type="dxa"/>
            <w:vMerge/>
            <w:vAlign w:val="center"/>
          </w:tcPr>
          <w:p w14:paraId="3EB7FB97" w14:textId="77777777" w:rsidR="008972EA" w:rsidRPr="00A1122B" w:rsidRDefault="008972EA" w:rsidP="00064E8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333BB3F6" w14:textId="3B644F52" w:rsidR="008972EA" w:rsidRPr="00AB425E" w:rsidRDefault="008972EA" w:rsidP="00064E8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AB425E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Czas reakcji serwisu</w:t>
            </w:r>
          </w:p>
        </w:tc>
        <w:tc>
          <w:tcPr>
            <w:tcW w:w="4105" w:type="dxa"/>
          </w:tcPr>
          <w:p w14:paraId="1473B19F" w14:textId="7A651634" w:rsidR="008972EA" w:rsidRPr="00AB425E" w:rsidRDefault="0076600C" w:rsidP="004A0A2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</w:t>
            </w:r>
            <w:r w:rsidR="008972EA"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aksimum </w:t>
            </w:r>
            <w:r w:rsidR="004A0A2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14</w:t>
            </w:r>
            <w:r w:rsidR="008972EA"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dni</w:t>
            </w:r>
          </w:p>
        </w:tc>
      </w:tr>
      <w:tr w:rsidR="00064E81" w:rsidRPr="004B475B" w14:paraId="6B95CD82" w14:textId="77777777" w:rsidTr="00E01DD1">
        <w:tc>
          <w:tcPr>
            <w:tcW w:w="2122" w:type="dxa"/>
            <w:vMerge/>
            <w:vAlign w:val="center"/>
          </w:tcPr>
          <w:p w14:paraId="4E515499" w14:textId="77777777" w:rsidR="00064E81" w:rsidRPr="00AB425E" w:rsidRDefault="00064E81" w:rsidP="00064E8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  <w:vAlign w:val="center"/>
          </w:tcPr>
          <w:p w14:paraId="21273FE2" w14:textId="41BB3F3C" w:rsidR="00064E81" w:rsidRPr="00AB425E" w:rsidRDefault="008972EA" w:rsidP="00064E8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AB425E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I</w:t>
            </w:r>
            <w:r w:rsidR="00064E81" w:rsidRPr="00AB425E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nne wymagania gwarancyjne</w:t>
            </w:r>
          </w:p>
        </w:tc>
        <w:tc>
          <w:tcPr>
            <w:tcW w:w="4105" w:type="dxa"/>
          </w:tcPr>
          <w:p w14:paraId="79CA93D2" w14:textId="0D480DAC" w:rsidR="00064E81" w:rsidRPr="00AB425E" w:rsidRDefault="004B475B" w:rsidP="00064E8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</w:t>
            </w:r>
            <w:r w:rsidR="00064E81"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okresie gwarancji wykonywane będą bezpłatnie czynności serwisowe co najmniej raz w roku zgodnie z wymogami użytkowymi dla urządzenia</w:t>
            </w:r>
          </w:p>
        </w:tc>
      </w:tr>
      <w:tr w:rsidR="00064E81" w14:paraId="7C2727F8" w14:textId="77777777" w:rsidTr="008972EA">
        <w:tc>
          <w:tcPr>
            <w:tcW w:w="2122" w:type="dxa"/>
          </w:tcPr>
          <w:p w14:paraId="6CF9D58E" w14:textId="5156AE4A" w:rsidR="00064E81" w:rsidRPr="00AB425E" w:rsidRDefault="00064E81" w:rsidP="00064E8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  <w:r w:rsidRPr="00AB425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Serwis pogwarancyjny i </w:t>
            </w:r>
            <w:r w:rsidR="008972EA" w:rsidRPr="00AB425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zapewnienie </w:t>
            </w:r>
            <w:r w:rsidRPr="00AB425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dostępnoś</w:t>
            </w:r>
            <w:r w:rsidR="008972EA" w:rsidRPr="00AB425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ci</w:t>
            </w:r>
            <w:r w:rsidRPr="00AB425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części</w:t>
            </w:r>
          </w:p>
        </w:tc>
        <w:tc>
          <w:tcPr>
            <w:tcW w:w="2835" w:type="dxa"/>
            <w:vAlign w:val="center"/>
          </w:tcPr>
          <w:p w14:paraId="4782A6FD" w14:textId="52483F63" w:rsidR="00064E81" w:rsidRPr="00AB425E" w:rsidRDefault="008972EA" w:rsidP="008972E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proofErr w:type="spellStart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>Okres</w:t>
            </w:r>
            <w:proofErr w:type="spellEnd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>dostępności</w:t>
            </w:r>
            <w:proofErr w:type="spellEnd"/>
          </w:p>
        </w:tc>
        <w:tc>
          <w:tcPr>
            <w:tcW w:w="4105" w:type="dxa"/>
            <w:vAlign w:val="center"/>
          </w:tcPr>
          <w:p w14:paraId="7A4D223B" w14:textId="26C56535" w:rsidR="00064E81" w:rsidRPr="00AB425E" w:rsidRDefault="004B475B" w:rsidP="008972E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M</w:t>
            </w:r>
            <w:r w:rsidR="008972EA" w:rsidRPr="00AB425E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inimum 10 lat</w:t>
            </w:r>
          </w:p>
        </w:tc>
      </w:tr>
      <w:tr w:rsidR="00064E81" w:rsidRPr="004B475B" w14:paraId="7B4EC158" w14:textId="77777777" w:rsidTr="00E01DD1">
        <w:tc>
          <w:tcPr>
            <w:tcW w:w="2122" w:type="dxa"/>
            <w:vMerge w:val="restart"/>
            <w:shd w:val="clear" w:color="auto" w:fill="auto"/>
            <w:vAlign w:val="center"/>
          </w:tcPr>
          <w:p w14:paraId="4D144FAB" w14:textId="5D744799" w:rsidR="00064E81" w:rsidRPr="00AB425E" w:rsidRDefault="00064E81" w:rsidP="00064E8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AB425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Szkolenie i dokumentacja techniczna urządzenia i oprogramowania</w:t>
            </w:r>
          </w:p>
        </w:tc>
        <w:tc>
          <w:tcPr>
            <w:tcW w:w="2835" w:type="dxa"/>
            <w:vAlign w:val="center"/>
          </w:tcPr>
          <w:p w14:paraId="1F4127F1" w14:textId="4DA48052" w:rsidR="00064E81" w:rsidRPr="00AB425E" w:rsidRDefault="00AB425E" w:rsidP="00064E8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AB425E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S</w:t>
            </w:r>
            <w:r w:rsidR="00064E81" w:rsidRPr="00AB425E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zkolenie w zakresie obsługi urządzenia i oprogramowania</w:t>
            </w:r>
          </w:p>
        </w:tc>
        <w:tc>
          <w:tcPr>
            <w:tcW w:w="4105" w:type="dxa"/>
          </w:tcPr>
          <w:p w14:paraId="21A613B5" w14:textId="4266B0B4" w:rsidR="00064E81" w:rsidRPr="00AB425E" w:rsidRDefault="004B475B" w:rsidP="00064E8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</w:t>
            </w:r>
            <w:r w:rsidR="00064E81"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zkolenie pracowników wskazanych przez Zamawiającego w języku polskim w siedzibie Zamawia</w:t>
            </w:r>
            <w:r w:rsidR="0076600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jącego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</w:t>
            </w:r>
            <w:r w:rsidR="0076600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co najmniej 35 godzinne </w:t>
            </w:r>
            <w:r w:rsidR="00064E81"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licząc 7 godzin dziennie</w:t>
            </w:r>
          </w:p>
        </w:tc>
      </w:tr>
      <w:tr w:rsidR="00064E81" w:rsidRPr="004B475B" w14:paraId="776EC43D" w14:textId="77777777" w:rsidTr="00E01DD1">
        <w:tc>
          <w:tcPr>
            <w:tcW w:w="2122" w:type="dxa"/>
            <w:vMerge/>
            <w:shd w:val="clear" w:color="auto" w:fill="auto"/>
          </w:tcPr>
          <w:p w14:paraId="019A632E" w14:textId="77777777" w:rsidR="00064E81" w:rsidRPr="00AB425E" w:rsidRDefault="00064E81" w:rsidP="00064E8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1ADB7F4E" w14:textId="169CEF1D" w:rsidR="00064E81" w:rsidRPr="00AB425E" w:rsidRDefault="00AB425E" w:rsidP="00064E8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AB425E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D</w:t>
            </w:r>
            <w:r w:rsidR="00064E81" w:rsidRPr="00AB425E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okumentacja aparatury i instrukcja obsługi</w:t>
            </w:r>
          </w:p>
        </w:tc>
        <w:tc>
          <w:tcPr>
            <w:tcW w:w="4105" w:type="dxa"/>
          </w:tcPr>
          <w:p w14:paraId="71AF9186" w14:textId="079F8C09" w:rsidR="00064E81" w:rsidRPr="00AB425E" w:rsidRDefault="004B475B" w:rsidP="00064E8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 </w:t>
            </w:r>
            <w:r w:rsidR="00064E81"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języku polskim i angielskim, w wersji drukowanej i elektronicznej</w:t>
            </w:r>
          </w:p>
        </w:tc>
      </w:tr>
      <w:tr w:rsidR="004B475B" w:rsidRPr="004B475B" w14:paraId="7AEED487" w14:textId="77777777" w:rsidTr="00E01DD1">
        <w:tc>
          <w:tcPr>
            <w:tcW w:w="2122" w:type="dxa"/>
            <w:vMerge w:val="restart"/>
            <w:shd w:val="clear" w:color="auto" w:fill="auto"/>
          </w:tcPr>
          <w:p w14:paraId="1308C866" w14:textId="1BF3613D" w:rsidR="004B475B" w:rsidRPr="00AB425E" w:rsidRDefault="004B475B" w:rsidP="00064E8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AB425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Inne wymagania</w:t>
            </w:r>
          </w:p>
        </w:tc>
        <w:tc>
          <w:tcPr>
            <w:tcW w:w="2835" w:type="dxa"/>
            <w:vMerge w:val="restart"/>
          </w:tcPr>
          <w:p w14:paraId="52FCA3EE" w14:textId="77777777" w:rsidR="004B475B" w:rsidRPr="00AB425E" w:rsidRDefault="004B475B" w:rsidP="00064E8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105" w:type="dxa"/>
          </w:tcPr>
          <w:p w14:paraId="4129C81D" w14:textId="60895CEC" w:rsidR="004B475B" w:rsidRPr="00AB425E" w:rsidRDefault="004B475B" w:rsidP="0076600C">
            <w:pPr>
              <w:spacing w:after="0" w:line="240" w:lineRule="auto"/>
              <w:ind w:firstLine="6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Zabezpieczenia</w:t>
            </w: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na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wypadek </w:t>
            </w: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niekontrolowanego wzrostu ciśnienia.</w:t>
            </w:r>
          </w:p>
        </w:tc>
      </w:tr>
      <w:tr w:rsidR="004B475B" w:rsidRPr="004B475B" w14:paraId="0B57D5CF" w14:textId="77777777" w:rsidTr="00E01DD1">
        <w:tc>
          <w:tcPr>
            <w:tcW w:w="2122" w:type="dxa"/>
            <w:vMerge/>
            <w:shd w:val="clear" w:color="auto" w:fill="auto"/>
          </w:tcPr>
          <w:p w14:paraId="14247400" w14:textId="77777777" w:rsidR="004B475B" w:rsidRPr="00AB425E" w:rsidRDefault="004B475B" w:rsidP="00064E8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Merge/>
          </w:tcPr>
          <w:p w14:paraId="5582D8C0" w14:textId="77777777" w:rsidR="004B475B" w:rsidRPr="00AB425E" w:rsidRDefault="004B475B" w:rsidP="00064E8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105" w:type="dxa"/>
          </w:tcPr>
          <w:p w14:paraId="17C212CC" w14:textId="65987FB3" w:rsidR="004B475B" w:rsidRPr="00AB425E" w:rsidRDefault="004B475B" w:rsidP="0076600C">
            <w:pPr>
              <w:spacing w:after="0" w:line="240" w:lineRule="auto"/>
              <w:ind w:firstLine="6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42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Przedmiot zamówienia powinien spełniać wymagania obowiązujących przepisów prawa w zakresie bezpieczeństwa pracy i ochrony środowiska.</w:t>
            </w:r>
          </w:p>
        </w:tc>
      </w:tr>
      <w:tr w:rsidR="004B475B" w14:paraId="08488F55" w14:textId="77777777" w:rsidTr="00E01DD1">
        <w:tc>
          <w:tcPr>
            <w:tcW w:w="2122" w:type="dxa"/>
            <w:vMerge/>
            <w:shd w:val="clear" w:color="auto" w:fill="auto"/>
          </w:tcPr>
          <w:p w14:paraId="2B6FF5C9" w14:textId="77777777" w:rsidR="004B475B" w:rsidRPr="00AB425E" w:rsidRDefault="004B475B" w:rsidP="00064E8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Merge/>
          </w:tcPr>
          <w:p w14:paraId="0134FC1C" w14:textId="77777777" w:rsidR="004B475B" w:rsidRPr="00AB425E" w:rsidRDefault="004B475B" w:rsidP="00064E8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105" w:type="dxa"/>
          </w:tcPr>
          <w:p w14:paraId="68B87AB6" w14:textId="068D3E8B" w:rsidR="004B475B" w:rsidRPr="00AB425E" w:rsidRDefault="004B475B" w:rsidP="00AB425E">
            <w:pPr>
              <w:spacing w:after="0" w:line="240" w:lineRule="auto"/>
              <w:ind w:firstLine="6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spellStart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>Certyfikat</w:t>
            </w:r>
            <w:proofErr w:type="spellEnd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>bezpieczeństwa</w:t>
            </w:r>
            <w:proofErr w:type="spellEnd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>oznakowanie</w:t>
            </w:r>
            <w:proofErr w:type="spellEnd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 xml:space="preserve"> CE.</w:t>
            </w:r>
          </w:p>
        </w:tc>
      </w:tr>
      <w:tr w:rsidR="004B475B" w14:paraId="56250747" w14:textId="77777777" w:rsidTr="00E01DD1">
        <w:tc>
          <w:tcPr>
            <w:tcW w:w="2122" w:type="dxa"/>
            <w:vMerge/>
            <w:shd w:val="clear" w:color="auto" w:fill="auto"/>
          </w:tcPr>
          <w:p w14:paraId="0E2F984B" w14:textId="77777777" w:rsidR="004B475B" w:rsidRPr="00AB425E" w:rsidRDefault="004B475B" w:rsidP="00064E8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Merge/>
          </w:tcPr>
          <w:p w14:paraId="52F23D2D" w14:textId="77777777" w:rsidR="004B475B" w:rsidRPr="00AB425E" w:rsidRDefault="004B475B" w:rsidP="00064E8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105" w:type="dxa"/>
          </w:tcPr>
          <w:p w14:paraId="3221CF93" w14:textId="3CE9B11F" w:rsidR="004B475B" w:rsidRPr="00AB425E" w:rsidRDefault="004B475B" w:rsidP="00AB425E">
            <w:pPr>
              <w:spacing w:after="0" w:line="240" w:lineRule="auto"/>
              <w:ind w:firstLine="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>Deklaracja</w:t>
            </w:r>
            <w:proofErr w:type="spellEnd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>zgodności</w:t>
            </w:r>
            <w:proofErr w:type="spellEnd"/>
            <w:r w:rsidRPr="00AB425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60A856A7" w14:textId="35111E22" w:rsidR="00DA3C61" w:rsidRDefault="00DA3C61" w:rsidP="003A40CB">
      <w:pPr>
        <w:jc w:val="both"/>
        <w:rPr>
          <w:rFonts w:asciiTheme="minorHAnsi" w:eastAsia="Times New Roman" w:hAnsiTheme="minorHAnsi" w:cstheme="minorHAnsi"/>
          <w:lang w:val="pl-PL" w:eastAsia="pl-PL"/>
        </w:rPr>
      </w:pPr>
    </w:p>
    <w:sectPr w:rsidR="00DA3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5BE6"/>
    <w:multiLevelType w:val="hybridMultilevel"/>
    <w:tmpl w:val="A888EE0C"/>
    <w:lvl w:ilvl="0" w:tplc="2C10CE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52FC"/>
    <w:multiLevelType w:val="hybridMultilevel"/>
    <w:tmpl w:val="BF942090"/>
    <w:lvl w:ilvl="0" w:tplc="84BCC710">
      <w:start w:val="1"/>
      <w:numFmt w:val="bullet"/>
      <w:lvlText w:val="-"/>
      <w:lvlJc w:val="left"/>
      <w:pPr>
        <w:tabs>
          <w:tab w:val="num" w:pos="5"/>
        </w:tabs>
        <w:ind w:left="5" w:hanging="11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1E387B80"/>
    <w:multiLevelType w:val="hybridMultilevel"/>
    <w:tmpl w:val="47B2F172"/>
    <w:lvl w:ilvl="0" w:tplc="26B8A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21608"/>
    <w:multiLevelType w:val="hybridMultilevel"/>
    <w:tmpl w:val="AE40817E"/>
    <w:lvl w:ilvl="0" w:tplc="D730DCEA">
      <w:start w:val="1"/>
      <w:numFmt w:val="bullet"/>
      <w:lvlText w:val="•"/>
      <w:lvlJc w:val="left"/>
      <w:pPr>
        <w:ind w:left="72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26E317E5"/>
    <w:multiLevelType w:val="hybridMultilevel"/>
    <w:tmpl w:val="3B083330"/>
    <w:lvl w:ilvl="0" w:tplc="1AB86938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A60E8"/>
    <w:multiLevelType w:val="hybridMultilevel"/>
    <w:tmpl w:val="24B4815E"/>
    <w:lvl w:ilvl="0" w:tplc="D730DCE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8151A"/>
    <w:multiLevelType w:val="hybridMultilevel"/>
    <w:tmpl w:val="65D65288"/>
    <w:lvl w:ilvl="0" w:tplc="2C10CE08">
      <w:start w:val="1"/>
      <w:numFmt w:val="bullet"/>
      <w:lvlText w:val="-"/>
      <w:lvlJc w:val="left"/>
      <w:pPr>
        <w:ind w:left="725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745F257A"/>
    <w:multiLevelType w:val="hybridMultilevel"/>
    <w:tmpl w:val="CE982FE2"/>
    <w:lvl w:ilvl="0" w:tplc="2C10CE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BD"/>
    <w:rsid w:val="00064E81"/>
    <w:rsid w:val="00184DB0"/>
    <w:rsid w:val="00192AC4"/>
    <w:rsid w:val="001E1C94"/>
    <w:rsid w:val="002210C4"/>
    <w:rsid w:val="002300D0"/>
    <w:rsid w:val="00281519"/>
    <w:rsid w:val="003008E7"/>
    <w:rsid w:val="003030FD"/>
    <w:rsid w:val="0036682E"/>
    <w:rsid w:val="003950D5"/>
    <w:rsid w:val="003A40CB"/>
    <w:rsid w:val="003B580B"/>
    <w:rsid w:val="004A0A21"/>
    <w:rsid w:val="004B475B"/>
    <w:rsid w:val="00521A43"/>
    <w:rsid w:val="005230B5"/>
    <w:rsid w:val="00544BAC"/>
    <w:rsid w:val="005E7049"/>
    <w:rsid w:val="006241E2"/>
    <w:rsid w:val="00634758"/>
    <w:rsid w:val="00672A61"/>
    <w:rsid w:val="006958B5"/>
    <w:rsid w:val="00706627"/>
    <w:rsid w:val="00720113"/>
    <w:rsid w:val="0076600C"/>
    <w:rsid w:val="0076637D"/>
    <w:rsid w:val="00791AD6"/>
    <w:rsid w:val="00812E1E"/>
    <w:rsid w:val="008279CF"/>
    <w:rsid w:val="00851850"/>
    <w:rsid w:val="008972EA"/>
    <w:rsid w:val="009410CB"/>
    <w:rsid w:val="00987EE3"/>
    <w:rsid w:val="009B5963"/>
    <w:rsid w:val="009C7115"/>
    <w:rsid w:val="009E32BD"/>
    <w:rsid w:val="00A1122B"/>
    <w:rsid w:val="00A45BE3"/>
    <w:rsid w:val="00A74FF6"/>
    <w:rsid w:val="00AB425E"/>
    <w:rsid w:val="00AF537F"/>
    <w:rsid w:val="00BF122C"/>
    <w:rsid w:val="00CA7F0E"/>
    <w:rsid w:val="00DA3C61"/>
    <w:rsid w:val="00DC24B1"/>
    <w:rsid w:val="00E01DD1"/>
    <w:rsid w:val="00ED3322"/>
    <w:rsid w:val="00EF13EE"/>
    <w:rsid w:val="00F2300F"/>
    <w:rsid w:val="00FA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D3242F"/>
  <w15:docId w15:val="{54B751FF-614B-4D56-A73A-5A9EEF0F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0CB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3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1DD1"/>
    <w:pPr>
      <w:ind w:left="720"/>
      <w:contextualSpacing/>
    </w:pPr>
  </w:style>
  <w:style w:type="character" w:customStyle="1" w:styleId="object">
    <w:name w:val="object"/>
    <w:basedOn w:val="Domylnaczcionkaakapitu"/>
    <w:rsid w:val="00EF13EE"/>
  </w:style>
  <w:style w:type="paragraph" w:styleId="Tekstpodstawowy">
    <w:name w:val="Body Text"/>
    <w:basedOn w:val="Normalny"/>
    <w:link w:val="TekstpodstawowyZnak"/>
    <w:semiHidden/>
    <w:rsid w:val="00064E81"/>
    <w:pPr>
      <w:spacing w:after="0" w:line="240" w:lineRule="auto"/>
    </w:pPr>
    <w:rPr>
      <w:rFonts w:ascii="Times New Roman" w:eastAsia="Times New Roman" w:hAnsi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4E8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1455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Sobik-Szoltysek</dc:creator>
  <cp:lastModifiedBy>Agnieszka Bera-Rakoczy</cp:lastModifiedBy>
  <cp:revision>2</cp:revision>
  <dcterms:created xsi:type="dcterms:W3CDTF">2019-08-28T07:14:00Z</dcterms:created>
  <dcterms:modified xsi:type="dcterms:W3CDTF">2019-08-28T07:14:00Z</dcterms:modified>
</cp:coreProperties>
</file>