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BA" w:rsidRDefault="006B79BA" w:rsidP="006B79BA">
      <w:pPr>
        <w:pStyle w:val="Tytu"/>
        <w:jc w:val="center"/>
        <w:rPr>
          <w:rFonts w:ascii="Tahoma" w:hAnsi="Tahoma" w:cs="Tahoma"/>
          <w:sz w:val="20"/>
          <w:szCs w:val="20"/>
        </w:rPr>
      </w:pPr>
      <w:r w:rsidRPr="006B79BA">
        <w:rPr>
          <w:rFonts w:ascii="Tahoma" w:hAnsi="Tahoma" w:cs="Tahoma"/>
          <w:sz w:val="20"/>
          <w:szCs w:val="20"/>
        </w:rPr>
        <w:t>Załącznik – szczegółowy opis przedmiotu zamówienia ZP/DK-2</w:t>
      </w:r>
      <w:r w:rsidR="006C0C0C">
        <w:rPr>
          <w:rFonts w:ascii="Tahoma" w:hAnsi="Tahoma" w:cs="Tahoma"/>
          <w:sz w:val="20"/>
          <w:szCs w:val="20"/>
        </w:rPr>
        <w:t>5</w:t>
      </w:r>
      <w:r w:rsidRPr="006B79BA">
        <w:rPr>
          <w:rFonts w:ascii="Tahoma" w:hAnsi="Tahoma" w:cs="Tahoma"/>
          <w:sz w:val="20"/>
          <w:szCs w:val="20"/>
        </w:rPr>
        <w:t>/19</w:t>
      </w:r>
    </w:p>
    <w:p w:rsidR="006C0C0C" w:rsidRDefault="006C0C0C" w:rsidP="006C0C0C">
      <w:pPr>
        <w:rPr>
          <w:lang w:eastAsia="en-US" w:bidi="ar-SA"/>
        </w:rPr>
      </w:pPr>
    </w:p>
    <w:p w:rsidR="006C0C0C" w:rsidRPr="006C0C0C" w:rsidRDefault="006C0C0C" w:rsidP="006C0C0C">
      <w:pPr>
        <w:pStyle w:val="Tytu"/>
        <w:spacing w:after="120"/>
        <w:jc w:val="both"/>
        <w:rPr>
          <w:b/>
          <w:i/>
          <w:sz w:val="22"/>
          <w:szCs w:val="22"/>
        </w:rPr>
      </w:pPr>
      <w:r w:rsidRPr="006C0C0C">
        <w:rPr>
          <w:rFonts w:asciiTheme="minorHAnsi" w:hAnsiTheme="minorHAnsi" w:cstheme="minorHAnsi"/>
          <w:b/>
          <w:i/>
          <w:sz w:val="22"/>
          <w:szCs w:val="22"/>
        </w:rPr>
        <w:t xml:space="preserve">Komputer będzie wykorzystywany głównie jako obliczeniowa, wysokowydajna stacja robocza (obliczenia w Matlabie i innych programach symulacyjnych). Poza tym będzie służył dla potrzeb aplikacji biurowych, aplikacji edukacyjnych, aplikacji graficznych, dostępu do internetu oraz poczty elektronicznej. Rejestrator cyfrowy z funkcją mikrofonu USB do badań nad rozpoznawaniem sygnałów dźwiękowych i mowy.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786"/>
        <w:gridCol w:w="7747"/>
      </w:tblGrid>
      <w:tr w:rsidR="006C0C0C" w:rsidRPr="00EA1F51" w:rsidTr="00EB4E39">
        <w:tc>
          <w:tcPr>
            <w:tcW w:w="673" w:type="dxa"/>
            <w:shd w:val="pct15" w:color="auto" w:fill="auto"/>
          </w:tcPr>
          <w:p w:rsidR="006C0C0C" w:rsidRPr="00EA1F51" w:rsidRDefault="006C0C0C" w:rsidP="00EB4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1F51">
              <w:rPr>
                <w:rFonts w:ascii="Calibri" w:hAnsi="Calibri" w:cs="Calibri"/>
                <w:b/>
                <w:sz w:val="22"/>
                <w:szCs w:val="22"/>
              </w:rPr>
              <w:t>lp</w:t>
            </w:r>
          </w:p>
        </w:tc>
        <w:tc>
          <w:tcPr>
            <w:tcW w:w="1786" w:type="dxa"/>
            <w:shd w:val="pct15" w:color="auto" w:fill="auto"/>
          </w:tcPr>
          <w:p w:rsidR="006C0C0C" w:rsidRPr="00EA1F51" w:rsidRDefault="006C0C0C" w:rsidP="00EB4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1F51">
              <w:rPr>
                <w:rFonts w:ascii="Calibri" w:hAnsi="Calibri" w:cs="Calibri"/>
                <w:b/>
                <w:sz w:val="22"/>
                <w:szCs w:val="22"/>
              </w:rPr>
              <w:t>Nazwa komponentu</w:t>
            </w:r>
          </w:p>
        </w:tc>
        <w:tc>
          <w:tcPr>
            <w:tcW w:w="7747" w:type="dxa"/>
            <w:shd w:val="pct15" w:color="auto" w:fill="auto"/>
          </w:tcPr>
          <w:p w:rsidR="006C0C0C" w:rsidRPr="00EA1F51" w:rsidRDefault="006C0C0C" w:rsidP="00EB4E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1F51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Procesor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Procesor klasy x86, wielordzeniowy, wyposażony w pamięć podręczną L3 minimum 22MiB I+D, 44 linie PCIe, umożliwiający osiągnięcie przez oferowany zestaw w PassMark CPU Benchmark wynik minimum 28500 punktów.</w:t>
            </w:r>
            <w:r w:rsidRPr="00EA1F51">
              <w:rPr>
                <w:rFonts w:ascii="Calibri" w:hAnsi="Calibri" w:cs="Calibri"/>
                <w:bCs/>
                <w:sz w:val="22"/>
                <w:szCs w:val="22"/>
              </w:rPr>
              <w:t xml:space="preserve"> Na wezwanie zamawiającego w</w:t>
            </w:r>
            <w:r w:rsidRPr="00EA1F51">
              <w:rPr>
                <w:rFonts w:ascii="Calibri" w:hAnsi="Calibri" w:cs="Calibri"/>
                <w:sz w:val="22"/>
                <w:szCs w:val="22"/>
              </w:rPr>
              <w:t>ymagane będzie okazanie wyniku testu przeprowadzonego na oferowanej konfiguracji, potwierdzającego osiągnięcie przez oferowany zestaw komputerowy wymaganego wyniku. Wyposażony w wydajny system chłodzenia o dBA nie przekraczającym 25 i wentylatorami kontrolowanymi z poziomu BIOS płyty głównej.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Płyta główna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Chipset dedykowany do pracy z oferowanym procesorem obsługujący pamięci DDR4, z natywną obsługą USB 3.1 Gen1 i Gen2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Typ podstawki: dedykowany dla procesora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Min. trzy gniazda PCIe x16, pracujące w trybie x16/x16/x8 w konfiguracji multiGPU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Min 10 gniazd USB w tym minimum 4 x USB 3.1 dostępne z zewnątrz komputera, w tym 1 gniazdo USB 3.1 Gen 2 Type A i 1 gniazdo USB 3.1 Gen 2 Type C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Min 6 portów SATA III 6GB/s wsparcie dla RAID 0, 1, 5 oraz 10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Min 1 slot M.2 (M Key) 2242/2260/2280/22110 z obsługą dysków PCIe 3.0 x4 NVMe i SATA 6Gb/s  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Min 2 gniazda RJ45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BIOS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BIOS zgodny ze specyfikacją UEFI. Pełna obsługa BIOS przy wykorzystaniu klawiatury i myszy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Możliwość, bez uruchamiania systemu operacyjnego z dysku twardego komputera lub innych podłączonych do niego urządzeń zewnętrznych odczytania z BIOS informacji o:</w:t>
            </w:r>
          </w:p>
          <w:p w:rsidR="006C0C0C" w:rsidRPr="00EA1F51" w:rsidRDefault="006C0C0C" w:rsidP="00EB4E39"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wersji BIOS wraz z datą kompilacji BIOS</w:t>
            </w:r>
          </w:p>
          <w:p w:rsidR="006C0C0C" w:rsidRPr="00EA1F51" w:rsidRDefault="006C0C0C" w:rsidP="00EB4E39">
            <w:pPr>
              <w:ind w:left="5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producenta komputera, modelu komputera, nr seryjnym komputera</w:t>
            </w:r>
          </w:p>
          <w:p w:rsidR="006C0C0C" w:rsidRPr="00EA1F51" w:rsidRDefault="006C0C0C" w:rsidP="00EB4E39">
            <w:pPr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 xml:space="preserve">modelu zainstalowanych modułów RAM wraz z pojemnością poszczególnych 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modułów, taktowaniem oraz informacją o obsadzeniu slotów RAM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 xml:space="preserve">modelu procesora wraz z taktowaniem, liczbą rdzeni, linii PCIe oraz obsługiwanymi 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 xml:space="preserve">instrukcjami 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 xml:space="preserve">modelu dysków wraz z pojemnością oraz informacją o numerze 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portu, do którego jest podłączony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•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podłączonym napędzie optycznym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Funkcja blokowania wejścia do BIOS oraz blokowania startu systemu operacyjnego.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Funkcja blokowania/odblokowania BOOT-owania stacji roboczej z zewnętrznych urządzeń.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 xml:space="preserve">Możliwość ustawienia hasła administratora (zapewniający utrzymanie hasła nawet w przypadku resetu ustawień BIOS i/lub odcięcia zasilania RTC) na poziomie systemu, brak możliwości zmiany hasła pozwalającego na uruchomienie systemu bez podania hasła administratora. Wszystkie opcje dostępne bez uruchamiania systemu </w:t>
            </w:r>
            <w:r w:rsidRPr="00EA1F51">
              <w:rPr>
                <w:rFonts w:ascii="Calibri" w:hAnsi="Calibri" w:cs="Calibri"/>
                <w:sz w:val="22"/>
                <w:szCs w:val="22"/>
              </w:rPr>
              <w:lastRenderedPageBreak/>
              <w:t>operacyjnego z dysku twardego komputera lub innych, podłączonych do niego urządzeń zewnętrznych,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</w:t>
            </w:r>
            <w:r w:rsidRPr="00EA1F51">
              <w:rPr>
                <w:rFonts w:ascii="Calibri" w:hAnsi="Calibri" w:cs="Calibri"/>
                <w:sz w:val="22"/>
                <w:szCs w:val="22"/>
              </w:rPr>
              <w:tab/>
              <w:t>Możliwość włączenia/wyłączenia zintegrowanej karty dźwiękowej, karty sieciowej z poziomu BIOS, bez uruchamiania systemu operacyjnego z dysku twardego komputera lub innych, podłączonych do niego, urządzeń zewnętrznych.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Audio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karta dźwiękowa zintegrowana, zgodna z HD audio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Pamięć RAM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Min. 64GB DDR4 3000MHz, CL15 z możliwością rozbudowy do 128GB (4 sloty wolne)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Dyski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1x min. 240GB NVMe (PCIe x4) SSD,</w:t>
            </w:r>
          </w:p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val="en-US"/>
              </w:rPr>
              <w:t>1x min. 1TB SATAIII 6GB/s, min. 128GB cache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Napęd optyczny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Nagrywarka DVD +/- RW DL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Karta grafiki</w:t>
            </w:r>
          </w:p>
        </w:tc>
        <w:tc>
          <w:tcPr>
            <w:tcW w:w="7747" w:type="dxa"/>
            <w:vAlign w:val="center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Dedykowana, min. 8GB własnej pamięci podręcznej GDDR6 lub HMB2 wydajność pojedynczej karty wg. PassMark GPU Benchmark min. 14000. Z technologią CUDA.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Obudowa</w:t>
            </w:r>
          </w:p>
        </w:tc>
        <w:tc>
          <w:tcPr>
            <w:tcW w:w="7747" w:type="dxa"/>
            <w:vAlign w:val="center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Typu Tower (do pracy w pozycji pionowej), umożliwiająca montaż płyt głównych w standardzie EATX, wyposażona w minimum: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 zewnętrzną uniwersalną zatokę 5.25''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 minimum 5 wewnętrznych zatok na dyski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- w tym 2x 3.5", 3x 2.5"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 xml:space="preserve">na froncie obudowy (dopuszczalny front górnej ścianki) min: </w:t>
            </w:r>
          </w:p>
          <w:p w:rsidR="006C0C0C" w:rsidRPr="00EA1F51" w:rsidRDefault="006C0C0C" w:rsidP="00EB4E39">
            <w:pPr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2x USB 3.1 Type-A 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Wyposażona w min. 4 wentylatory 120/140mm (w tym min. 2 na foncie obudowy skierowane nawiewem do środka), 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 xml:space="preserve">min 150,000 godzin MTTF, 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ciśnienie statyczne nie mniej niż 10mm H</w:t>
            </w:r>
            <w:r w:rsidRPr="00EA1F51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EA1F51">
              <w:rPr>
                <w:rFonts w:ascii="Calibri" w:hAnsi="Calibri" w:cs="Calibri"/>
                <w:sz w:val="22"/>
                <w:szCs w:val="22"/>
              </w:rPr>
              <w:t>O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przepływ powietrza nie mniej niż 250m</w:t>
            </w:r>
            <w:r w:rsidRPr="00EA1F51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EA1F51">
              <w:rPr>
                <w:rFonts w:ascii="Calibri" w:hAnsi="Calibri" w:cs="Calibri"/>
                <w:sz w:val="22"/>
                <w:szCs w:val="22"/>
              </w:rPr>
              <w:t xml:space="preserve">/h </w:t>
            </w:r>
          </w:p>
          <w:p w:rsidR="006C0C0C" w:rsidRPr="00EA1F51" w:rsidRDefault="006C0C0C" w:rsidP="00EB4E3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sterowane z poziomu BIOS płyty głównej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6C0C0C" w:rsidRPr="00EA1F51" w:rsidRDefault="006C0C0C" w:rsidP="00EB4E3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Maksymalna szerokość obudowy – 22 cm.</w:t>
            </w:r>
          </w:p>
          <w:p w:rsidR="006C0C0C" w:rsidRPr="00EA1F51" w:rsidRDefault="006C0C0C" w:rsidP="00EB4E3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Niedopuszczalne są otwory wentylacyjne znajdujące się na ściankach bocznych obudowy.</w:t>
            </w:r>
          </w:p>
          <w:p w:rsidR="006C0C0C" w:rsidRPr="00EA1F51" w:rsidRDefault="006C0C0C" w:rsidP="00EB4E3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Obudowa ma być wyposażona w filtry przeciwkurzowe na wszystkich wlotach powietrza wyposażonych w wentylatory oraz dodatkowo na wlocie powietrza dla zasilacza.</w:t>
            </w:r>
          </w:p>
          <w:p w:rsidR="006C0C0C" w:rsidRPr="00EA1F51" w:rsidRDefault="006C0C0C" w:rsidP="00EB4E3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 obudowę komputera musi być wbudowany wizualny system diagnostyczny, służący do sygnalizowania i diagnozowania problemów z komputerem i jego komponentami; a w szczególności musi sygnalizować: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Przebieg procedury POST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Sum kontrolnych BIOSu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Awarii procesora lub pamięci podręcznej procesora</w:t>
            </w:r>
          </w:p>
          <w:p w:rsidR="006C0C0C" w:rsidRPr="00EA1F51" w:rsidRDefault="006C0C0C" w:rsidP="006C0C0C">
            <w:pPr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Uszkodzenia lub braku pamięci RAM, kontrolera Video, dysku twardego, płyty głównej.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Możliwość otwarcia obudowy komputera i dołożenia komponentów przez wykwalifikowany personel zamawiającego bez utraty gwarancji.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LAN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pStyle w:val="Tekstpodstawowy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eastAsia="pl-PL"/>
              </w:rPr>
              <w:t>2x Gigabit Ethernet 10/100/1000 Mb/s ze złączem RJ 45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Zasilacz</w:t>
            </w:r>
          </w:p>
        </w:tc>
        <w:tc>
          <w:tcPr>
            <w:tcW w:w="7747" w:type="dxa"/>
            <w:vAlign w:val="center"/>
          </w:tcPr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o mocy minimalnej 750W i sprawności minimum 92% przy 50% obciążeniu,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w pełni modularne okablowanie, zabezpieczenia: przeciwprzeciążeniowe, przeciwprzepięciowe, przeciwzwarciowe </w:t>
            </w:r>
          </w:p>
        </w:tc>
      </w:tr>
      <w:tr w:rsidR="006C0C0C" w:rsidRPr="00EA1F51" w:rsidTr="00EB4E39">
        <w:trPr>
          <w:trHeight w:val="601"/>
        </w:trPr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Klawiatura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Przewodowa na kabel USB, standard QWERTY, 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Niskoprofilowe, ciche klawisze, mechanizm wytrzymujący minimum 10 milionów uderzeń.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Mysz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Przewodowa na kabel USB, min 3 przyciski wytrzymujące 10 milionów kliknięć, rolka</w:t>
            </w:r>
            <w:r w:rsidRPr="00EA1F51">
              <w:rPr>
                <w:rFonts w:ascii="Calibri" w:hAnsi="Calibri" w:cs="Calibri"/>
                <w:sz w:val="22"/>
                <w:szCs w:val="22"/>
              </w:rPr>
              <w:br/>
              <w:t>Czujnik optyczny (nie laserowy) o rozdzielczości regulowanej w zakresie 250 do 2500dpi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Certyfikaty </w:t>
            </w:r>
          </w:p>
          <w:p w:rsidR="006C0C0C" w:rsidRPr="00EA1F51" w:rsidRDefault="000F36C1" w:rsidP="00EB4E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(oświadczenie Wykonawcy)</w:t>
            </w:r>
          </w:p>
        </w:tc>
        <w:tc>
          <w:tcPr>
            <w:tcW w:w="7747" w:type="dxa"/>
            <w:vAlign w:val="center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Certyfikat PN-EN ISO 9001:2001(ISO 9001:2001) na procesy projektowania, produkcję, sprzedaż i serwis, PN-EN ISO14001:2005 (ISO 14001:2005) oraz PN-ISO/IEC 27001:2007 lub nowsze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 deklaracja producenta o zgodności z dyrektywami EMC 2004/108/WE oraz R&amp;TTE 1999/5/EWG (oznaczenia CE)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eastAsia="pl-PL"/>
              </w:rPr>
              <w:t>- Certyfikat zgodności z Systemem Operacyjnym Windows 10</w:t>
            </w:r>
          </w:p>
        </w:tc>
      </w:tr>
      <w:tr w:rsidR="006C0C0C" w:rsidRPr="00EA1F51" w:rsidTr="00EB4E39">
        <w:trPr>
          <w:trHeight w:val="795"/>
        </w:trPr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7747" w:type="dxa"/>
          </w:tcPr>
          <w:p w:rsidR="006C0C0C" w:rsidRPr="00EA1F51" w:rsidRDefault="006C0C0C" w:rsidP="000F36C1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- Min. 36 miesięcy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Monitor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Przekątna ekranu  27"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Powłoka matrycy  Matowa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Rodzaj matrycy  LED, IPS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Rozdzielczość ekranu) 2560 x 1440 (WQHD)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Format ekranu 16:9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Częstotliwość odświeżania 60 Hz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Wielkość plamki  max 0,233 mm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Jasność min 250 cd/m²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Kontrast statyczny 1 000:1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Kąt widzenia w poziomie 178 stopni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Kąt widzenia w pionie  178 stopni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Czas reakcji  max 5 ms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Liczba wyświetlanych kolorów 1,07 mld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Rodzaje wejść / wyjść  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VGA – min 1szt, DVI-D – min 1 szt, DisplayPort - min 1 szt.,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HDMI – min 1 szt., Wejście audio - 1 szt., Wyjście słuchawkowe – min 1szt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USB 3.1 Gen. 1 (USB 3.0) – min 2 szt., USB 2.0) – min 2 szt.,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DC-in (wejście zasilania) - 1 szt.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Głośniki – tak (2x min 2W )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Obrotowy ekran (PIVOT)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Pobór mocy podczas pracy  max 21 W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Pobór mocy podczas spoczynku &lt; 0,5 W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Szerokość bez podstawy max 625 mm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Wysokość (z podstawą) max 530 mm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Głębokość (z podstawą) max 230 mm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Waga bez podstawy max </w:t>
            </w:r>
            <w:r w:rsidR="000F36C1"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Pr="00EA1F51">
              <w:rPr>
                <w:rFonts w:ascii="Calibri" w:hAnsi="Calibri" w:cs="Calibri"/>
                <w:sz w:val="22"/>
                <w:szCs w:val="22"/>
              </w:rPr>
              <w:t xml:space="preserve"> kg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Dodatkowe informacje Możliwość zabezpieczenia linką (Kensington Lock), Wbudowany HUB USB, Regulacja kąta pochylenia, Regulacja wysokości (Height), Regulacja kąta obrotu,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Możliwość montażu na ścianie - VESA 100 x 100 mm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Skrócona instrukcja obsługi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 Instrukcja bezpieczeństwa </w:t>
            </w:r>
          </w:p>
          <w:p w:rsidR="006C0C0C" w:rsidRPr="00EA1F51" w:rsidRDefault="006C0C0C" w:rsidP="00EB4E39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Gwarancja            36 miesięcy (gwarancja producenta)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System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System operacyjny: Windows 10 Professional 64-bit PL 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Oprogramowanie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Pakiet biurowy wersja edukacyjna </w:t>
            </w:r>
            <w:r w:rsidRPr="00EA1F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Microsoft Office 2019 Pro MOLP EDU (wersja dożywotnia jednostanowiskowa)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Dodatki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Rejestrator cyfrowy z funkcją mikrofonu USB: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Dwa mikrofony pojemnościowe w układzie X/Y rejestrujące dźwięk stereo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Wyświetlacz LCD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Rozbudowany ogranicznik sygnału umożliwiający wolne od zniekształceń nagrywanie do poziomu 120 dB SPL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Zasilanie dwoma bateriami AAA (do 10 godzin nieprzerwanej pracy)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Regulacja prędkości odtwarzania (Playback Speed Control) i powtarzanie A-B (A-B Repeat)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Funkcja Stereo Bounce do nakładania dźwięku na istniejące nagranie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Automatyczne nagrywanie, nagrywanie wstępne, programowanie czasu nagrywania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Zapis w formacie WAV (16/24 bity, 44,1/48/96 kHz) lub MP3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Wbudowany głośnik mono: 500 mW 8Ω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Wejście liniowe/mikrofonowe ⅛" (mały jack) 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Wyjście jack stereo 1/8" z dedykowanym woluminie control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Nagrywanie bezpośrednio na kartach SD i SDHC o pojemności do 32 GB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Port Micro USB do wymiany danych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 zestawie licencja na oprogramowanie zalecane przez Producenta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Akcesoria: ekran wiatrochronny, statyw mikrofonowy, zaczep do dyktafonu, pokrowiec, zasilacz sieciowy, kabel USB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Dodatkowy kabel USB micro USB-USB 3 m</w:t>
            </w:r>
          </w:p>
          <w:p w:rsidR="006C0C0C" w:rsidRPr="00EA1F51" w:rsidRDefault="006C0C0C" w:rsidP="006C0C0C">
            <w:pPr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Karta SDHC 32 GB</w:t>
            </w:r>
          </w:p>
        </w:tc>
      </w:tr>
      <w:tr w:rsidR="006C0C0C" w:rsidRPr="00EA1F51" w:rsidTr="00EB4E39">
        <w:tc>
          <w:tcPr>
            <w:tcW w:w="673" w:type="dxa"/>
          </w:tcPr>
          <w:p w:rsidR="006C0C0C" w:rsidRPr="00EA1F51" w:rsidRDefault="006C0C0C" w:rsidP="00EB4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6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Głośniki</w:t>
            </w:r>
          </w:p>
        </w:tc>
        <w:tc>
          <w:tcPr>
            <w:tcW w:w="7747" w:type="dxa"/>
          </w:tcPr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 xml:space="preserve">Moc szczytowa 6 W/moc RMS 3 W 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Membrana o średnicy 2 cali</w:t>
            </w:r>
            <w:r w:rsidR="000F36C1">
              <w:rPr>
                <w:rFonts w:ascii="Calibri" w:hAnsi="Calibri" w:cs="Calibri"/>
                <w:sz w:val="22"/>
                <w:szCs w:val="22"/>
              </w:rPr>
              <w:t xml:space="preserve"> +/-10%</w:t>
            </w:r>
            <w:bookmarkStart w:id="0" w:name="_GoBack"/>
            <w:bookmarkEnd w:id="0"/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Gniazdo słuchawkowe i elementy sterujące zasilaniem i głośnością dostępne poprzez pokrętło na prawym głośniku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Wysokość głośników w przedziale 150-155 mm</w:t>
            </w:r>
          </w:p>
          <w:p w:rsidR="006C0C0C" w:rsidRPr="00EA1F51" w:rsidRDefault="006C0C0C" w:rsidP="00EB4E39">
            <w:pPr>
              <w:rPr>
                <w:rFonts w:ascii="Calibri" w:hAnsi="Calibri" w:cs="Calibri"/>
                <w:sz w:val="22"/>
                <w:szCs w:val="22"/>
              </w:rPr>
            </w:pPr>
            <w:r w:rsidRPr="00EA1F51">
              <w:rPr>
                <w:rFonts w:ascii="Calibri" w:hAnsi="Calibri" w:cs="Calibri"/>
                <w:sz w:val="22"/>
                <w:szCs w:val="22"/>
              </w:rPr>
              <w:t>waga – min 0.5 kg</w:t>
            </w:r>
          </w:p>
        </w:tc>
      </w:tr>
    </w:tbl>
    <w:p w:rsidR="006C0C0C" w:rsidRDefault="006C0C0C" w:rsidP="006C0C0C">
      <w:pPr>
        <w:pStyle w:val="Tytu"/>
        <w:spacing w:after="120"/>
        <w:ind w:left="539" w:hanging="539"/>
        <w:jc w:val="both"/>
        <w:rPr>
          <w:b/>
          <w:i/>
        </w:rPr>
      </w:pPr>
    </w:p>
    <w:p w:rsidR="006B79BA" w:rsidRPr="006B79BA" w:rsidRDefault="006B79BA" w:rsidP="006B79BA">
      <w:pPr>
        <w:rPr>
          <w:rFonts w:ascii="Tahoma" w:hAnsi="Tahoma" w:cs="Tahoma"/>
          <w:sz w:val="20"/>
          <w:szCs w:val="20"/>
          <w:lang w:eastAsia="en-US" w:bidi="ar-SA"/>
        </w:rPr>
      </w:pPr>
    </w:p>
    <w:sectPr w:rsidR="006B79BA" w:rsidRPr="006B79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73" w:rsidRDefault="00672573">
      <w:r>
        <w:separator/>
      </w:r>
    </w:p>
  </w:endnote>
  <w:endnote w:type="continuationSeparator" w:id="0">
    <w:p w:rsidR="00672573" w:rsidRDefault="0067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73" w:rsidRDefault="00672573">
      <w:r>
        <w:rPr>
          <w:color w:val="000000"/>
        </w:rPr>
        <w:separator/>
      </w:r>
    </w:p>
  </w:footnote>
  <w:footnote w:type="continuationSeparator" w:id="0">
    <w:p w:rsidR="00672573" w:rsidRDefault="0067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83357B"/>
    <w:multiLevelType w:val="multilevel"/>
    <w:tmpl w:val="C14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A11D3"/>
    <w:multiLevelType w:val="hybridMultilevel"/>
    <w:tmpl w:val="5A4C7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1AE"/>
    <w:multiLevelType w:val="hybridMultilevel"/>
    <w:tmpl w:val="9C34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1BA4"/>
    <w:multiLevelType w:val="hybridMultilevel"/>
    <w:tmpl w:val="1288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460"/>
    <w:multiLevelType w:val="hybridMultilevel"/>
    <w:tmpl w:val="1E60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E3FC3"/>
    <w:multiLevelType w:val="hybridMultilevel"/>
    <w:tmpl w:val="A66A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48"/>
    <w:rsid w:val="000D4948"/>
    <w:rsid w:val="000F36C1"/>
    <w:rsid w:val="003151CA"/>
    <w:rsid w:val="003C3498"/>
    <w:rsid w:val="005453EE"/>
    <w:rsid w:val="005F40AF"/>
    <w:rsid w:val="00672573"/>
    <w:rsid w:val="006B79BA"/>
    <w:rsid w:val="006C0C0C"/>
    <w:rsid w:val="00E06942"/>
    <w:rsid w:val="00F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DF70"/>
  <w15:docId w15:val="{6A475C2A-5666-4868-9959-4D71217E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9BA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9BA"/>
    <w:pPr>
      <w:keepNext/>
      <w:keepLines/>
      <w:suppressAutoHyphens w:val="0"/>
      <w:autoSpaceDN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9BA"/>
    <w:pPr>
      <w:keepNext/>
      <w:keepLines/>
      <w:suppressAutoHyphens w:val="0"/>
      <w:autoSpaceDN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Zawartotabeli">
    <w:name w:val="Zawarto?? tabeli"/>
    <w:basedOn w:val="Standard"/>
    <w:pPr>
      <w:suppressLineNumbers/>
    </w:pPr>
  </w:style>
  <w:style w:type="paragraph" w:customStyle="1" w:styleId="WW-Nagwek1">
    <w:name w:val="WW-Nag?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Nagwek">
    <w:name w:val="Nag?ówek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Nagwek1Znak">
    <w:name w:val="Nagłówek 1 Znak"/>
    <w:basedOn w:val="Domylnaczcionkaakapitu"/>
    <w:link w:val="Nagwek1"/>
    <w:uiPriority w:val="9"/>
    <w:rsid w:val="006B79B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79BA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79BA"/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6B79BA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79BA"/>
    <w:pPr>
      <w:suppressAutoHyphens w:val="0"/>
      <w:autoSpaceDN/>
      <w:textAlignment w:val="auto"/>
    </w:pPr>
    <w:rPr>
      <w:rFonts w:asciiTheme="minorHAnsi" w:eastAsia="Times New Roman" w:hAnsiTheme="minorHAnsi" w:cs="Times New Roman"/>
      <w:kern w:val="0"/>
      <w:sz w:val="22"/>
      <w:szCs w:val="22"/>
      <w:lang w:eastAsia="en-US" w:bidi="ar-SA"/>
    </w:rPr>
  </w:style>
  <w:style w:type="paragraph" w:styleId="Tytu">
    <w:name w:val="Title"/>
    <w:basedOn w:val="Normalny"/>
    <w:next w:val="Normalny"/>
    <w:link w:val="TytuZnak"/>
    <w:qFormat/>
    <w:rsid w:val="006B79BA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6B7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 w:bidi="ar-SA"/>
    </w:rPr>
  </w:style>
  <w:style w:type="paragraph" w:styleId="Akapitzlist">
    <w:name w:val="List Paragraph"/>
    <w:basedOn w:val="Normalny"/>
    <w:uiPriority w:val="34"/>
    <w:qFormat/>
    <w:rsid w:val="006B79B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6C0C0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 w:val="28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6C0C0C"/>
    <w:rPr>
      <w:rFonts w:ascii="Times New Roman" w:eastAsia="Times New Roman" w:hAnsi="Times New Roman" w:cs="Times New Roman"/>
      <w:kern w:val="0"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Kupczak</dc:creator>
  <cp:lastModifiedBy>Joanna Podsiadlik</cp:lastModifiedBy>
  <cp:revision>4</cp:revision>
  <dcterms:created xsi:type="dcterms:W3CDTF">2019-07-23T08:02:00Z</dcterms:created>
  <dcterms:modified xsi:type="dcterms:W3CDTF">2019-07-24T07:19:00Z</dcterms:modified>
</cp:coreProperties>
</file>