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9BA" w:rsidRDefault="006B79BA" w:rsidP="006B79BA">
      <w:pPr>
        <w:pStyle w:val="Tytu"/>
        <w:jc w:val="center"/>
        <w:rPr>
          <w:rFonts w:ascii="Tahoma" w:hAnsi="Tahoma" w:cs="Tahoma"/>
          <w:sz w:val="20"/>
          <w:szCs w:val="20"/>
        </w:rPr>
      </w:pPr>
      <w:r w:rsidRPr="006B79BA">
        <w:rPr>
          <w:rFonts w:ascii="Tahoma" w:hAnsi="Tahoma" w:cs="Tahoma"/>
          <w:sz w:val="20"/>
          <w:szCs w:val="20"/>
        </w:rPr>
        <w:t>Załącznik – szczegółowy opis przedmiotu zamówienia ZP/DK-2</w:t>
      </w:r>
      <w:r w:rsidR="006C0C0C">
        <w:rPr>
          <w:rFonts w:ascii="Tahoma" w:hAnsi="Tahoma" w:cs="Tahoma"/>
          <w:sz w:val="20"/>
          <w:szCs w:val="20"/>
        </w:rPr>
        <w:t>5</w:t>
      </w:r>
      <w:r w:rsidRPr="006B79BA">
        <w:rPr>
          <w:rFonts w:ascii="Tahoma" w:hAnsi="Tahoma" w:cs="Tahoma"/>
          <w:sz w:val="20"/>
          <w:szCs w:val="20"/>
        </w:rPr>
        <w:t>/19</w:t>
      </w:r>
    </w:p>
    <w:p w:rsidR="006C0C0C" w:rsidRDefault="006C0C0C" w:rsidP="006C0C0C">
      <w:pPr>
        <w:rPr>
          <w:lang w:eastAsia="en-US" w:bidi="ar-SA"/>
        </w:rPr>
      </w:pPr>
    </w:p>
    <w:p w:rsidR="006C0C0C" w:rsidRPr="006C0C0C" w:rsidRDefault="006C0C0C" w:rsidP="006C0C0C">
      <w:pPr>
        <w:pStyle w:val="Tytu"/>
        <w:spacing w:after="120"/>
        <w:jc w:val="both"/>
        <w:rPr>
          <w:b/>
          <w:i/>
          <w:sz w:val="22"/>
          <w:szCs w:val="22"/>
        </w:rPr>
      </w:pPr>
      <w:r w:rsidRPr="006C0C0C">
        <w:rPr>
          <w:rFonts w:asciiTheme="minorHAnsi" w:hAnsiTheme="minorHAnsi" w:cstheme="minorHAnsi"/>
          <w:b/>
          <w:i/>
          <w:sz w:val="22"/>
          <w:szCs w:val="22"/>
        </w:rPr>
        <w:t xml:space="preserve">Komputer będzie wykorzystywany głównie jako obliczeniowa, wysokowydajna stacja robocza (obliczenia w Matlabie i innych programach symulacyjnych). Poza tym będzie służył dla potrzeb aplikacji biurowych, aplikacji edukacyjnych, aplikacji graficznych, dostępu do internetu oraz poczty elektronicznej. Rejestrator cyfrowy z funkcją mikrofonu USB do badań nad rozpoznawaniem sygnałów dźwiękowych i mowy.  </w:t>
      </w:r>
    </w:p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1786"/>
        <w:gridCol w:w="7747"/>
      </w:tblGrid>
      <w:tr w:rsidR="006C0C0C" w:rsidRPr="00EA1F51" w:rsidTr="00EB4E39">
        <w:tc>
          <w:tcPr>
            <w:tcW w:w="673" w:type="dxa"/>
            <w:shd w:val="pct15" w:color="auto" w:fill="auto"/>
          </w:tcPr>
          <w:p w:rsidR="006C0C0C" w:rsidRPr="00EA1F51" w:rsidRDefault="006C0C0C" w:rsidP="00EB4E39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EA1F51">
              <w:rPr>
                <w:rFonts w:ascii="Calibri" w:hAnsi="Calibri" w:cs="Calibri"/>
                <w:b/>
                <w:sz w:val="22"/>
                <w:szCs w:val="22"/>
              </w:rPr>
              <w:t>lp</w:t>
            </w:r>
          </w:p>
        </w:tc>
        <w:tc>
          <w:tcPr>
            <w:tcW w:w="1786" w:type="dxa"/>
            <w:shd w:val="pct15" w:color="auto" w:fill="auto"/>
          </w:tcPr>
          <w:p w:rsidR="006C0C0C" w:rsidRPr="00EA1F51" w:rsidRDefault="006C0C0C" w:rsidP="00EB4E39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EA1F51">
              <w:rPr>
                <w:rFonts w:ascii="Calibri" w:hAnsi="Calibri" w:cs="Calibri"/>
                <w:b/>
                <w:sz w:val="22"/>
                <w:szCs w:val="22"/>
              </w:rPr>
              <w:t>Nazwa komponentu</w:t>
            </w:r>
          </w:p>
        </w:tc>
        <w:tc>
          <w:tcPr>
            <w:tcW w:w="7747" w:type="dxa"/>
            <w:shd w:val="pct15" w:color="auto" w:fill="auto"/>
          </w:tcPr>
          <w:p w:rsidR="006C0C0C" w:rsidRPr="00EA1F51" w:rsidRDefault="006C0C0C" w:rsidP="00EB4E39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EA1F51">
              <w:rPr>
                <w:rFonts w:ascii="Calibri" w:hAnsi="Calibri" w:cs="Calibri"/>
                <w:b/>
                <w:sz w:val="22"/>
                <w:szCs w:val="22"/>
              </w:rPr>
              <w:t>Parametry wymagane</w:t>
            </w:r>
          </w:p>
        </w:tc>
      </w:tr>
      <w:tr w:rsidR="006C0C0C" w:rsidRPr="00EA1F51" w:rsidTr="00EB4E39">
        <w:tc>
          <w:tcPr>
            <w:tcW w:w="673" w:type="dxa"/>
          </w:tcPr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786" w:type="dxa"/>
          </w:tcPr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Procesor</w:t>
            </w:r>
          </w:p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747" w:type="dxa"/>
          </w:tcPr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Procesor klasy x86, wielordzeniowy, wyposażony w pamięć podręczną L3 minimum 22MiB I+D, 44 linie PCIe, umożliwiający osiągnięcie przez oferowany zestaw w PassMark CPU Benchmark wynik minimum 28500 punktów.</w:t>
            </w:r>
            <w:r w:rsidRPr="00EA1F51">
              <w:rPr>
                <w:rFonts w:ascii="Calibri" w:hAnsi="Calibri" w:cs="Calibri"/>
                <w:bCs/>
                <w:sz w:val="22"/>
                <w:szCs w:val="22"/>
              </w:rPr>
              <w:t xml:space="preserve"> Na wezwanie zamawiającego w</w:t>
            </w:r>
            <w:r w:rsidRPr="00EA1F51">
              <w:rPr>
                <w:rFonts w:ascii="Calibri" w:hAnsi="Calibri" w:cs="Calibri"/>
                <w:sz w:val="22"/>
                <w:szCs w:val="22"/>
              </w:rPr>
              <w:t>ymagane będzie okazanie wyniku testu przeprowadzonego na oferowanej konfiguracji, potwierdzającego osiągnięcie przez oferowany zestaw komputerowy wymaganego wyniku. Wyposażony w wydajny system chłodzenia o dBA nie przekraczającym 25 i wentylatorami kontrolowanymi z poziomu BIOS płyty głównej.</w:t>
            </w:r>
          </w:p>
        </w:tc>
      </w:tr>
      <w:tr w:rsidR="006C0C0C" w:rsidRPr="00EA1F51" w:rsidTr="00EB4E39">
        <w:tc>
          <w:tcPr>
            <w:tcW w:w="673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786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Płyta główna</w:t>
            </w:r>
          </w:p>
        </w:tc>
        <w:tc>
          <w:tcPr>
            <w:tcW w:w="7747" w:type="dxa"/>
          </w:tcPr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Chipset dedykowany do pracy z oferowanym procesorem obsługujący pamięci DDR4, z natywną obsługą USB 3.1 Gen1 i Gen2</w:t>
            </w:r>
          </w:p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Typ podstawki: dedykowany dla procesora</w:t>
            </w:r>
          </w:p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Min. trzy gniazda PCIe x16, pracujące w trybie x16/x16/x8 w konfiguracji multiGPU</w:t>
            </w:r>
          </w:p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Min 10 gniazd USB w tym minimum 4 x USB 3.1 dostępne z zewnątrz komputera, w tym 1 gniazdo USB 3.1 Gen 2 Type A i 1 gniazdo USB 3.1 Gen 2 Type C</w:t>
            </w:r>
          </w:p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Min 6 portów SATA III 6GB/s wsparcie dla RAID 0, 1, 5 oraz 10</w:t>
            </w:r>
          </w:p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 xml:space="preserve">Min 1 slot M.2 (M Key) 2242/2260/2280/22110 z obsługą dysków PCIe 3.0 x4 NVMe i SATA 6Gb/s  </w:t>
            </w:r>
          </w:p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Min 2 gniazda RJ45</w:t>
            </w:r>
          </w:p>
        </w:tc>
      </w:tr>
      <w:tr w:rsidR="006C0C0C" w:rsidRPr="00EA1F51" w:rsidTr="00EB4E39">
        <w:tc>
          <w:tcPr>
            <w:tcW w:w="673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3</w:t>
            </w:r>
          </w:p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86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BIOS</w:t>
            </w:r>
          </w:p>
        </w:tc>
        <w:tc>
          <w:tcPr>
            <w:tcW w:w="7747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-</w:t>
            </w:r>
            <w:r w:rsidRPr="00EA1F51">
              <w:rPr>
                <w:rFonts w:ascii="Calibri" w:hAnsi="Calibri" w:cs="Calibri"/>
                <w:sz w:val="22"/>
                <w:szCs w:val="22"/>
              </w:rPr>
              <w:tab/>
              <w:t>BIOS zgodny ze specyfikacją UEFI. Pełna obsługa BIOS przy wykorzystaniu klawiatury i myszy</w:t>
            </w:r>
          </w:p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-</w:t>
            </w:r>
            <w:r w:rsidRPr="00EA1F51">
              <w:rPr>
                <w:rFonts w:ascii="Calibri" w:hAnsi="Calibri" w:cs="Calibri"/>
                <w:sz w:val="22"/>
                <w:szCs w:val="22"/>
              </w:rPr>
              <w:tab/>
              <w:t>Możliwość, bez uruchamiania systemu operacyjnego z dysku twardego komputera lub innych podłączonych do niego urządzeń zewnętrznych odczytania z BIOS informacji o:</w:t>
            </w:r>
          </w:p>
          <w:p w:rsidR="006C0C0C" w:rsidRPr="00EA1F51" w:rsidRDefault="006C0C0C" w:rsidP="00EB4E39">
            <w:pPr>
              <w:ind w:left="567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•</w:t>
            </w:r>
            <w:r w:rsidRPr="00EA1F51">
              <w:rPr>
                <w:rFonts w:ascii="Calibri" w:hAnsi="Calibri" w:cs="Calibri"/>
                <w:sz w:val="22"/>
                <w:szCs w:val="22"/>
              </w:rPr>
              <w:tab/>
              <w:t>wersji BIOS wraz z datą kompilacji BIOS</w:t>
            </w:r>
          </w:p>
          <w:p w:rsidR="006C0C0C" w:rsidRPr="00EA1F51" w:rsidRDefault="006C0C0C" w:rsidP="00EB4E39">
            <w:pPr>
              <w:ind w:left="567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•</w:t>
            </w:r>
            <w:r w:rsidRPr="00EA1F51">
              <w:rPr>
                <w:rFonts w:ascii="Calibri" w:hAnsi="Calibri" w:cs="Calibri"/>
                <w:sz w:val="22"/>
                <w:szCs w:val="22"/>
              </w:rPr>
              <w:tab/>
              <w:t>producenta komputera, modelu komputera, nr seryjnym komputera</w:t>
            </w:r>
          </w:p>
          <w:p w:rsidR="006C0C0C" w:rsidRPr="00EA1F51" w:rsidRDefault="006C0C0C" w:rsidP="00EB4E39">
            <w:pPr>
              <w:ind w:left="567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•</w:t>
            </w:r>
            <w:r w:rsidRPr="00EA1F51">
              <w:rPr>
                <w:rFonts w:ascii="Calibri" w:hAnsi="Calibri" w:cs="Calibri"/>
                <w:sz w:val="22"/>
                <w:szCs w:val="22"/>
              </w:rPr>
              <w:tab/>
              <w:t xml:space="preserve">modelu zainstalowanych modułów RAM wraz z pojemnością poszczególnych </w:t>
            </w:r>
            <w:r w:rsidRPr="00EA1F51">
              <w:rPr>
                <w:rFonts w:ascii="Calibri" w:hAnsi="Calibri" w:cs="Calibri"/>
                <w:sz w:val="22"/>
                <w:szCs w:val="22"/>
              </w:rPr>
              <w:br/>
            </w:r>
            <w:r w:rsidRPr="00EA1F51">
              <w:rPr>
                <w:rFonts w:ascii="Calibri" w:hAnsi="Calibri" w:cs="Calibri"/>
                <w:sz w:val="22"/>
                <w:szCs w:val="22"/>
              </w:rPr>
              <w:tab/>
              <w:t>modułów, taktowaniem oraz informacją o obsadzeniu slotów RAM</w:t>
            </w:r>
            <w:r w:rsidRPr="00EA1F51">
              <w:rPr>
                <w:rFonts w:ascii="Calibri" w:hAnsi="Calibri" w:cs="Calibri"/>
                <w:sz w:val="22"/>
                <w:szCs w:val="22"/>
              </w:rPr>
              <w:br/>
              <w:t>•</w:t>
            </w:r>
            <w:r w:rsidRPr="00EA1F51">
              <w:rPr>
                <w:rFonts w:ascii="Calibri" w:hAnsi="Calibri" w:cs="Calibri"/>
                <w:sz w:val="22"/>
                <w:szCs w:val="22"/>
              </w:rPr>
              <w:tab/>
              <w:t xml:space="preserve">modelu procesora wraz z taktowaniem, liczbą rdzeni, linii PCIe oraz obsługiwanymi </w:t>
            </w:r>
            <w:r w:rsidRPr="00EA1F51">
              <w:rPr>
                <w:rFonts w:ascii="Calibri" w:hAnsi="Calibri" w:cs="Calibri"/>
                <w:sz w:val="22"/>
                <w:szCs w:val="22"/>
              </w:rPr>
              <w:tab/>
              <w:t xml:space="preserve">instrukcjami </w:t>
            </w:r>
            <w:r w:rsidRPr="00EA1F51">
              <w:rPr>
                <w:rFonts w:ascii="Calibri" w:hAnsi="Calibri" w:cs="Calibri"/>
                <w:sz w:val="22"/>
                <w:szCs w:val="22"/>
              </w:rPr>
              <w:br/>
              <w:t>•</w:t>
            </w:r>
            <w:r w:rsidRPr="00EA1F51">
              <w:rPr>
                <w:rFonts w:ascii="Calibri" w:hAnsi="Calibri" w:cs="Calibri"/>
                <w:sz w:val="22"/>
                <w:szCs w:val="22"/>
              </w:rPr>
              <w:tab/>
              <w:t xml:space="preserve">modelu dysków wraz z pojemnością oraz informacją o numerze </w:t>
            </w:r>
            <w:r w:rsidRPr="00EA1F51">
              <w:rPr>
                <w:rFonts w:ascii="Calibri" w:hAnsi="Calibri" w:cs="Calibri"/>
                <w:sz w:val="22"/>
                <w:szCs w:val="22"/>
              </w:rPr>
              <w:tab/>
            </w:r>
            <w:r w:rsidRPr="00EA1F51">
              <w:rPr>
                <w:rFonts w:ascii="Calibri" w:hAnsi="Calibri" w:cs="Calibri"/>
                <w:sz w:val="22"/>
                <w:szCs w:val="22"/>
              </w:rPr>
              <w:tab/>
              <w:t>portu, do którego jest podłączony</w:t>
            </w:r>
            <w:r w:rsidRPr="00EA1F51">
              <w:rPr>
                <w:rFonts w:ascii="Calibri" w:hAnsi="Calibri" w:cs="Calibri"/>
                <w:sz w:val="22"/>
                <w:szCs w:val="22"/>
              </w:rPr>
              <w:br/>
              <w:t>•</w:t>
            </w:r>
            <w:r w:rsidRPr="00EA1F51">
              <w:rPr>
                <w:rFonts w:ascii="Calibri" w:hAnsi="Calibri" w:cs="Calibri"/>
                <w:sz w:val="22"/>
                <w:szCs w:val="22"/>
              </w:rPr>
              <w:tab/>
              <w:t>podłączonym napędzie optycznym</w:t>
            </w:r>
          </w:p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-</w:t>
            </w:r>
            <w:r w:rsidRPr="00EA1F51">
              <w:rPr>
                <w:rFonts w:ascii="Calibri" w:hAnsi="Calibri" w:cs="Calibri"/>
                <w:sz w:val="22"/>
                <w:szCs w:val="22"/>
              </w:rPr>
              <w:tab/>
              <w:t>Funkcja blokowania wejścia do BIOS oraz blokowania startu systemu operacyjnego.</w:t>
            </w:r>
          </w:p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-</w:t>
            </w:r>
            <w:r w:rsidRPr="00EA1F51">
              <w:rPr>
                <w:rFonts w:ascii="Calibri" w:hAnsi="Calibri" w:cs="Calibri"/>
                <w:sz w:val="22"/>
                <w:szCs w:val="22"/>
              </w:rPr>
              <w:tab/>
              <w:t>Funkcja blokowania/odblokowania BOOT-owania stacji roboczej z zewnętrznych urządzeń.</w:t>
            </w:r>
          </w:p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-</w:t>
            </w:r>
            <w:r w:rsidRPr="00EA1F51">
              <w:rPr>
                <w:rFonts w:ascii="Calibri" w:hAnsi="Calibri" w:cs="Calibri"/>
                <w:sz w:val="22"/>
                <w:szCs w:val="22"/>
              </w:rPr>
              <w:tab/>
              <w:t xml:space="preserve">Możliwość ustawienia hasła administratora (zapewniający utrzymanie hasła nawet w przypadku resetu ustawień BIOS i/lub odcięcia zasilania RTC) na poziomie systemu, brak możliwości zmiany hasła pozwalającego na uruchomienie systemu bez podania hasła administratora. Wszystkie opcje dostępne bez uruchamiania systemu </w:t>
            </w:r>
            <w:r w:rsidRPr="00EA1F51">
              <w:rPr>
                <w:rFonts w:ascii="Calibri" w:hAnsi="Calibri" w:cs="Calibri"/>
                <w:sz w:val="22"/>
                <w:szCs w:val="22"/>
              </w:rPr>
              <w:lastRenderedPageBreak/>
              <w:t>operacyjnego z dysku twardego komputera lub innych, podłączonych do niego urządzeń zewnętrznych,</w:t>
            </w:r>
          </w:p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-</w:t>
            </w:r>
            <w:r w:rsidRPr="00EA1F51">
              <w:rPr>
                <w:rFonts w:ascii="Calibri" w:hAnsi="Calibri" w:cs="Calibri"/>
                <w:sz w:val="22"/>
                <w:szCs w:val="22"/>
              </w:rPr>
              <w:tab/>
              <w:t>Możliwość włączenia/wyłączenia zintegrowanej karty dźwiękowej, karty sieciowej z poziomu BIOS, bez uruchamiania systemu operacyjnego z dysku twardego komputera lub innych, podłączonych do niego, urządzeń zewnętrznych.</w:t>
            </w:r>
          </w:p>
        </w:tc>
      </w:tr>
      <w:tr w:rsidR="006C0C0C" w:rsidRPr="00EA1F51" w:rsidTr="00EB4E39">
        <w:tc>
          <w:tcPr>
            <w:tcW w:w="673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lastRenderedPageBreak/>
              <w:t>4</w:t>
            </w:r>
          </w:p>
        </w:tc>
        <w:tc>
          <w:tcPr>
            <w:tcW w:w="1786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Audio</w:t>
            </w:r>
          </w:p>
        </w:tc>
        <w:tc>
          <w:tcPr>
            <w:tcW w:w="7747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karta dźwiękowa zintegrowana, zgodna z HD audio</w:t>
            </w:r>
          </w:p>
        </w:tc>
      </w:tr>
      <w:tr w:rsidR="006C0C0C" w:rsidRPr="00EA1F51" w:rsidTr="00EB4E39">
        <w:tc>
          <w:tcPr>
            <w:tcW w:w="673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1786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Pamięć RAM</w:t>
            </w:r>
          </w:p>
        </w:tc>
        <w:tc>
          <w:tcPr>
            <w:tcW w:w="7747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Min. 64GB DDR4 3000MHz, CL15 z możliwością rozbudowy do 128GB (4 sloty wolne)</w:t>
            </w:r>
          </w:p>
        </w:tc>
      </w:tr>
      <w:tr w:rsidR="006C0C0C" w:rsidRPr="00EA1F51" w:rsidTr="00EB4E39">
        <w:tc>
          <w:tcPr>
            <w:tcW w:w="673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1786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Dyski</w:t>
            </w:r>
          </w:p>
        </w:tc>
        <w:tc>
          <w:tcPr>
            <w:tcW w:w="7747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1x min. 240GB NVMe (PCIe x4) SSD,</w:t>
            </w:r>
          </w:p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EA1F51">
              <w:rPr>
                <w:rFonts w:ascii="Calibri" w:hAnsi="Calibri" w:cs="Calibri"/>
                <w:sz w:val="22"/>
                <w:szCs w:val="22"/>
                <w:lang w:val="en-US"/>
              </w:rPr>
              <w:t>1x min. 1TB SATAIII 6GB/s, min. 128GB cache</w:t>
            </w:r>
          </w:p>
        </w:tc>
      </w:tr>
      <w:tr w:rsidR="006C0C0C" w:rsidRPr="00EA1F51" w:rsidTr="00EB4E39">
        <w:tc>
          <w:tcPr>
            <w:tcW w:w="673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  <w:tc>
          <w:tcPr>
            <w:tcW w:w="1786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Napęd optyczny</w:t>
            </w:r>
          </w:p>
        </w:tc>
        <w:tc>
          <w:tcPr>
            <w:tcW w:w="7747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Nagrywarka DVD +/- RW DL</w:t>
            </w:r>
          </w:p>
        </w:tc>
      </w:tr>
      <w:tr w:rsidR="006C0C0C" w:rsidRPr="00EA1F51" w:rsidTr="00EB4E39">
        <w:tc>
          <w:tcPr>
            <w:tcW w:w="673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1786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Karta grafiki</w:t>
            </w:r>
          </w:p>
        </w:tc>
        <w:tc>
          <w:tcPr>
            <w:tcW w:w="7747" w:type="dxa"/>
            <w:vAlign w:val="center"/>
          </w:tcPr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Dedykowana, min. 8GB własnej pamięci podręcznej GDDR6 lub HMB2 wydajność pojedynczej karty wg. PassMark GPU Benchmark min. 14000. Z technologią CUDA.</w:t>
            </w:r>
          </w:p>
        </w:tc>
      </w:tr>
      <w:tr w:rsidR="006C0C0C" w:rsidRPr="00EA1F51" w:rsidTr="00EB4E39">
        <w:tc>
          <w:tcPr>
            <w:tcW w:w="673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1786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Obudowa</w:t>
            </w:r>
          </w:p>
        </w:tc>
        <w:tc>
          <w:tcPr>
            <w:tcW w:w="7747" w:type="dxa"/>
            <w:vAlign w:val="center"/>
          </w:tcPr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Typu Tower (do pracy w pozycji pionowej), umożliwiająca montaż płyt głównych w standardzie EATX, wyposażona w minimum:</w:t>
            </w:r>
          </w:p>
          <w:p w:rsidR="006C0C0C" w:rsidRPr="00EA1F51" w:rsidRDefault="006C0C0C" w:rsidP="006C0C0C">
            <w:pPr>
              <w:numPr>
                <w:ilvl w:val="0"/>
                <w:numId w:val="6"/>
              </w:numPr>
              <w:autoSpaceDN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1 zewnętrzną uniwersalną zatokę 5.25''</w:t>
            </w:r>
          </w:p>
          <w:p w:rsidR="006C0C0C" w:rsidRPr="00EA1F51" w:rsidRDefault="006C0C0C" w:rsidP="006C0C0C">
            <w:pPr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- minimum 5 wewnętrznych zatok na dyski</w:t>
            </w:r>
            <w:r w:rsidRPr="00EA1F51">
              <w:rPr>
                <w:rFonts w:ascii="Calibri" w:hAnsi="Calibri" w:cs="Calibri"/>
                <w:sz w:val="22"/>
                <w:szCs w:val="22"/>
              </w:rPr>
              <w:br/>
              <w:t>- w tym 2x 3.5", 3x 2.5"</w:t>
            </w:r>
            <w:r w:rsidRPr="00EA1F51">
              <w:rPr>
                <w:rFonts w:ascii="Calibri" w:hAnsi="Calibri" w:cs="Calibri"/>
                <w:sz w:val="22"/>
                <w:szCs w:val="22"/>
              </w:rPr>
              <w:br/>
              <w:t xml:space="preserve">na froncie obudowy (dopuszczalny front górnej ścianki) min: </w:t>
            </w:r>
          </w:p>
          <w:p w:rsidR="006C0C0C" w:rsidRPr="00EA1F51" w:rsidRDefault="006C0C0C" w:rsidP="00EB4E39">
            <w:pPr>
              <w:ind w:left="72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EA1F51">
              <w:rPr>
                <w:rFonts w:ascii="Calibri" w:hAnsi="Calibri" w:cs="Calibri"/>
                <w:sz w:val="22"/>
                <w:szCs w:val="22"/>
                <w:lang w:val="en-US"/>
              </w:rPr>
              <w:t xml:space="preserve">2x USB 3.1 Type-A </w:t>
            </w:r>
          </w:p>
          <w:p w:rsidR="006C0C0C" w:rsidRPr="00EA1F51" w:rsidRDefault="006C0C0C" w:rsidP="006C0C0C">
            <w:pPr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 xml:space="preserve">Wyposażona w min. 4 wentylatory 120/140mm (w tym min. 2 na foncie obudowy skierowane nawiewem do środka), </w:t>
            </w:r>
            <w:r w:rsidRPr="00EA1F51">
              <w:rPr>
                <w:rFonts w:ascii="Calibri" w:hAnsi="Calibri" w:cs="Calibri"/>
                <w:sz w:val="22"/>
                <w:szCs w:val="22"/>
              </w:rPr>
              <w:br/>
              <w:t xml:space="preserve">min 150,000 godzin MTTF, </w:t>
            </w:r>
            <w:r w:rsidRPr="00EA1F51">
              <w:rPr>
                <w:rFonts w:ascii="Calibri" w:hAnsi="Calibri" w:cs="Calibri"/>
                <w:sz w:val="22"/>
                <w:szCs w:val="22"/>
              </w:rPr>
              <w:br/>
              <w:t>ciśnienie statyczne nie mniej niż 10mm H</w:t>
            </w:r>
            <w:r w:rsidRPr="00EA1F51">
              <w:rPr>
                <w:rFonts w:ascii="Calibri" w:hAnsi="Calibri" w:cs="Calibri"/>
                <w:sz w:val="22"/>
                <w:szCs w:val="22"/>
                <w:vertAlign w:val="superscript"/>
              </w:rPr>
              <w:t>2</w:t>
            </w:r>
            <w:r w:rsidRPr="00EA1F51">
              <w:rPr>
                <w:rFonts w:ascii="Calibri" w:hAnsi="Calibri" w:cs="Calibri"/>
                <w:sz w:val="22"/>
                <w:szCs w:val="22"/>
              </w:rPr>
              <w:t>O</w:t>
            </w:r>
            <w:r w:rsidRPr="00EA1F51">
              <w:rPr>
                <w:rFonts w:ascii="Calibri" w:hAnsi="Calibri" w:cs="Calibri"/>
                <w:sz w:val="22"/>
                <w:szCs w:val="22"/>
              </w:rPr>
              <w:br/>
              <w:t>przepływ powietrza nie mniej niż 250m</w:t>
            </w:r>
            <w:r w:rsidRPr="00EA1F51">
              <w:rPr>
                <w:rFonts w:ascii="Calibri" w:hAnsi="Calibri" w:cs="Calibri"/>
                <w:sz w:val="22"/>
                <w:szCs w:val="22"/>
                <w:vertAlign w:val="superscript"/>
              </w:rPr>
              <w:t>3</w:t>
            </w:r>
            <w:r w:rsidRPr="00EA1F51">
              <w:rPr>
                <w:rFonts w:ascii="Calibri" w:hAnsi="Calibri" w:cs="Calibri"/>
                <w:sz w:val="22"/>
                <w:szCs w:val="22"/>
              </w:rPr>
              <w:t xml:space="preserve">/h </w:t>
            </w:r>
          </w:p>
          <w:p w:rsidR="006C0C0C" w:rsidRPr="00EA1F51" w:rsidRDefault="006C0C0C" w:rsidP="00EB4E39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sterowane z poziomu BIOS płyty głównej</w:t>
            </w:r>
            <w:r w:rsidRPr="00EA1F51">
              <w:rPr>
                <w:rFonts w:ascii="Calibri" w:hAnsi="Calibri" w:cs="Calibri"/>
                <w:sz w:val="22"/>
                <w:szCs w:val="22"/>
              </w:rPr>
              <w:br/>
            </w:r>
          </w:p>
          <w:p w:rsidR="006C0C0C" w:rsidRPr="00EA1F51" w:rsidRDefault="006C0C0C" w:rsidP="00EB4E39">
            <w:pPr>
              <w:ind w:left="360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Maksymalna szerokość obudowy – 22 cm.</w:t>
            </w:r>
          </w:p>
          <w:p w:rsidR="006C0C0C" w:rsidRPr="00EA1F51" w:rsidRDefault="006C0C0C" w:rsidP="00EB4E39">
            <w:pPr>
              <w:ind w:left="360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Niedopuszczalne są otwory wentylacyjne znajdujące się na ściankach bocznych obudowy.</w:t>
            </w:r>
          </w:p>
          <w:p w:rsidR="006C0C0C" w:rsidRPr="00EA1F51" w:rsidRDefault="006C0C0C" w:rsidP="00EB4E39">
            <w:pPr>
              <w:ind w:left="360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Obudowa ma być wyposażona w filtry przeciwkurzowe na wszystkich wlotach powietrza wyposażonych w wentylatory oraz dodatkowo na wlocie powietrza dla zasilacza.</w:t>
            </w:r>
          </w:p>
          <w:p w:rsidR="006C0C0C" w:rsidRPr="00EA1F51" w:rsidRDefault="006C0C0C" w:rsidP="00EB4E39">
            <w:pPr>
              <w:ind w:left="360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W obudowę komputera musi być wbudowany wizualny system diagnostyczny, służący do sygnalizowania i diagnozowania problemów z komputerem i jego komponentami; a w szczególności musi sygnalizować:</w:t>
            </w:r>
          </w:p>
          <w:p w:rsidR="006C0C0C" w:rsidRPr="00EA1F51" w:rsidRDefault="006C0C0C" w:rsidP="006C0C0C">
            <w:pPr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Przebieg procedury POST</w:t>
            </w:r>
          </w:p>
          <w:p w:rsidR="006C0C0C" w:rsidRPr="00EA1F51" w:rsidRDefault="006C0C0C" w:rsidP="006C0C0C">
            <w:pPr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Sum kontrolnych BIOSu</w:t>
            </w:r>
          </w:p>
          <w:p w:rsidR="006C0C0C" w:rsidRPr="00EA1F51" w:rsidRDefault="006C0C0C" w:rsidP="006C0C0C">
            <w:pPr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Awarii procesora lub pamięci podręcznej procesora</w:t>
            </w:r>
          </w:p>
          <w:p w:rsidR="006C0C0C" w:rsidRPr="00EA1F51" w:rsidRDefault="006C0C0C" w:rsidP="006C0C0C">
            <w:pPr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Uszkodzenia lub braku pamięci RAM, kontrolera Video, dysku twardego, płyty głównej.</w:t>
            </w:r>
          </w:p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Możliwość otwarcia obudowy komputera i dołożenia komponentów przez wykwalifikowany personel zamawiającego bez utraty gwarancji.</w:t>
            </w:r>
          </w:p>
        </w:tc>
      </w:tr>
      <w:tr w:rsidR="006C0C0C" w:rsidRPr="00EA1F51" w:rsidTr="00EB4E39">
        <w:tc>
          <w:tcPr>
            <w:tcW w:w="673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1786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LAN</w:t>
            </w:r>
          </w:p>
        </w:tc>
        <w:tc>
          <w:tcPr>
            <w:tcW w:w="7747" w:type="dxa"/>
          </w:tcPr>
          <w:p w:rsidR="006C0C0C" w:rsidRPr="00EA1F51" w:rsidRDefault="006C0C0C" w:rsidP="00EB4E39">
            <w:pPr>
              <w:pStyle w:val="Tekstpodstawowy"/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  <w:lang w:eastAsia="pl-PL"/>
              </w:rPr>
            </w:pPr>
            <w:r w:rsidRPr="00EA1F51">
              <w:rPr>
                <w:rFonts w:ascii="Calibri" w:hAnsi="Calibri" w:cs="Calibri"/>
                <w:sz w:val="22"/>
                <w:szCs w:val="22"/>
                <w:lang w:eastAsia="pl-PL"/>
              </w:rPr>
              <w:t>2x Gigabit Ethernet 10/100/1000 Mb/s ze złączem RJ 45</w:t>
            </w:r>
          </w:p>
        </w:tc>
      </w:tr>
      <w:tr w:rsidR="006C0C0C" w:rsidRPr="00EA1F51" w:rsidTr="00EB4E39">
        <w:tc>
          <w:tcPr>
            <w:tcW w:w="673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11</w:t>
            </w:r>
          </w:p>
        </w:tc>
        <w:tc>
          <w:tcPr>
            <w:tcW w:w="1786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Zasilacz</w:t>
            </w:r>
          </w:p>
        </w:tc>
        <w:tc>
          <w:tcPr>
            <w:tcW w:w="7747" w:type="dxa"/>
            <w:vAlign w:val="center"/>
          </w:tcPr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 xml:space="preserve">o mocy minimalnej 750W i sprawności minimum 92% przy 50% obciążeniu, 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 xml:space="preserve">w pełni modularne okablowanie, zabezpieczenia: przeciwprzeciążeniowe, przeciwprzepięciowe, przeciwzwarciowe </w:t>
            </w:r>
          </w:p>
        </w:tc>
      </w:tr>
      <w:tr w:rsidR="006C0C0C" w:rsidRPr="00EA1F51" w:rsidTr="00EB4E39">
        <w:trPr>
          <w:trHeight w:val="601"/>
        </w:trPr>
        <w:tc>
          <w:tcPr>
            <w:tcW w:w="673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1786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Klawiatura</w:t>
            </w:r>
          </w:p>
        </w:tc>
        <w:tc>
          <w:tcPr>
            <w:tcW w:w="7747" w:type="dxa"/>
          </w:tcPr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 xml:space="preserve">Przewodowa na kabel USB, standard QWERTY, </w:t>
            </w:r>
          </w:p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Niskoprofilowe, ciche klawisze, mechanizm wytrzymujący minimum 10 milionów uderzeń.</w:t>
            </w:r>
          </w:p>
        </w:tc>
      </w:tr>
      <w:tr w:rsidR="006C0C0C" w:rsidRPr="00EA1F51" w:rsidTr="00EB4E39">
        <w:tc>
          <w:tcPr>
            <w:tcW w:w="673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1786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Mysz</w:t>
            </w:r>
          </w:p>
        </w:tc>
        <w:tc>
          <w:tcPr>
            <w:tcW w:w="7747" w:type="dxa"/>
          </w:tcPr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Przewodowa na kabel USB, min 3 przyciski wytrzymujące 10 milionów kliknięć, rolka</w:t>
            </w:r>
            <w:r w:rsidRPr="00EA1F51">
              <w:rPr>
                <w:rFonts w:ascii="Calibri" w:hAnsi="Calibri" w:cs="Calibri"/>
                <w:sz w:val="22"/>
                <w:szCs w:val="22"/>
              </w:rPr>
              <w:br/>
              <w:t>Czujnik optyczny (nie laserowy) o rozdzielczości regulowanej w zakresie 250 do 2500dpi</w:t>
            </w:r>
          </w:p>
        </w:tc>
      </w:tr>
      <w:tr w:rsidR="006C0C0C" w:rsidRPr="00EA1F51" w:rsidTr="00EB4E39">
        <w:tc>
          <w:tcPr>
            <w:tcW w:w="673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lastRenderedPageBreak/>
              <w:t>14</w:t>
            </w:r>
          </w:p>
        </w:tc>
        <w:tc>
          <w:tcPr>
            <w:tcW w:w="1786" w:type="dxa"/>
          </w:tcPr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 xml:space="preserve">Certyfikaty </w:t>
            </w:r>
          </w:p>
          <w:p w:rsidR="006C0C0C" w:rsidRPr="00EA1F51" w:rsidRDefault="000F36C1" w:rsidP="00EB4E3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(oświadczenie Wykonawcy)</w:t>
            </w:r>
          </w:p>
        </w:tc>
        <w:tc>
          <w:tcPr>
            <w:tcW w:w="7747" w:type="dxa"/>
            <w:vAlign w:val="center"/>
          </w:tcPr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 xml:space="preserve">Certyfikat PN-EN ISO 9001:2001(ISO 9001:2001) na procesy projektowania, produkcję, sprzedaż i serwis, PN-EN ISO14001:2005 (ISO 14001:2005) oraz PN-ISO/IEC 27001:2007 lub nowsze 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- deklaracja producenta o zgodności z dyrektywami EMC 2004/108/WE oraz R&amp;TTE 1999/5/EWG (oznaczenia CE)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  <w:lang w:eastAsia="pl-PL"/>
              </w:rPr>
            </w:pPr>
            <w:r w:rsidRPr="00EA1F51">
              <w:rPr>
                <w:rFonts w:ascii="Calibri" w:hAnsi="Calibri" w:cs="Calibri"/>
                <w:sz w:val="22"/>
                <w:szCs w:val="22"/>
                <w:lang w:eastAsia="pl-PL"/>
              </w:rPr>
              <w:t>- Certyfikat zgodności z Systemem Operacyjnym Windows 10</w:t>
            </w:r>
          </w:p>
        </w:tc>
      </w:tr>
      <w:tr w:rsidR="006C0C0C" w:rsidRPr="00EA1F51" w:rsidTr="00EB4E39">
        <w:trPr>
          <w:trHeight w:val="795"/>
        </w:trPr>
        <w:tc>
          <w:tcPr>
            <w:tcW w:w="673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15</w:t>
            </w:r>
          </w:p>
        </w:tc>
        <w:tc>
          <w:tcPr>
            <w:tcW w:w="1786" w:type="dxa"/>
          </w:tcPr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Gwarancja</w:t>
            </w:r>
          </w:p>
        </w:tc>
        <w:tc>
          <w:tcPr>
            <w:tcW w:w="7747" w:type="dxa"/>
          </w:tcPr>
          <w:p w:rsidR="006C0C0C" w:rsidRPr="00EA1F51" w:rsidRDefault="006C0C0C" w:rsidP="000F36C1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- Min. 36 miesięcy</w:t>
            </w:r>
          </w:p>
        </w:tc>
      </w:tr>
      <w:tr w:rsidR="006C0C0C" w:rsidRPr="00EA1F51" w:rsidTr="00EB4E39">
        <w:tc>
          <w:tcPr>
            <w:tcW w:w="673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16.</w:t>
            </w:r>
          </w:p>
        </w:tc>
        <w:tc>
          <w:tcPr>
            <w:tcW w:w="1786" w:type="dxa"/>
          </w:tcPr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Monitor</w:t>
            </w:r>
          </w:p>
        </w:tc>
        <w:tc>
          <w:tcPr>
            <w:tcW w:w="7747" w:type="dxa"/>
          </w:tcPr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Przekątna ekranu  27"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Powłoka matrycy  Matowa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Rodzaj matrycy  LED, IPS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Rozdzielczość ekranu) 2560 x 1440 (WQHD)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Format ekranu 16:9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Częstotliwość odświeżania 60 Hz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Wielkość plamki  max 0,233 mm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Jasność min 250 cd/m²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Kontrast statyczny 1 000:1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Kąt widzenia w poziomie 178 stopni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Kąt widzenia w pionie  178 stopni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Czas reakcji  max 5 ms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Liczba wyświetlanych kolorów 1,07 mld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 xml:space="preserve">Rodzaje wejść / wyjść   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 xml:space="preserve">VGA – min 1szt, DVI-D – min 1 szt, DisplayPort - min 1 szt., 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 xml:space="preserve">HDMI – min 1 szt., Wejście audio - 1 szt., Wyjście słuchawkowe – min 1szt 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EA1F51">
              <w:rPr>
                <w:rFonts w:ascii="Calibri" w:hAnsi="Calibri" w:cs="Calibri"/>
                <w:sz w:val="22"/>
                <w:szCs w:val="22"/>
                <w:lang w:val="en-US"/>
              </w:rPr>
              <w:t xml:space="preserve">USB 3.1 Gen. 1 (USB 3.0) – min 2 szt., USB 2.0) – min 2 szt., 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DC-in (wejście zasilania) - 1 szt.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 xml:space="preserve">Głośniki – tak (2x min 2W ) 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Obrotowy ekran (PIVOT)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Pobór mocy podczas pracy  max 21 W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Pobór mocy podczas spoczynku &lt; 0,5 W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Szerokość bez podstawy max 625 mm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Wysokość (z podstawą) max 530 mm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Głębokość (z podstawą) max 230 mm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 xml:space="preserve">Waga bez podstawy max </w:t>
            </w:r>
            <w:r w:rsidR="000F36C1">
              <w:rPr>
                <w:rFonts w:ascii="Calibri" w:hAnsi="Calibri" w:cs="Calibri"/>
                <w:sz w:val="22"/>
                <w:szCs w:val="22"/>
                <w:lang w:val="pl-PL"/>
              </w:rPr>
              <w:t>5</w:t>
            </w:r>
            <w:r w:rsidRPr="00EA1F51">
              <w:rPr>
                <w:rFonts w:ascii="Calibri" w:hAnsi="Calibri" w:cs="Calibri"/>
                <w:sz w:val="22"/>
                <w:szCs w:val="22"/>
              </w:rPr>
              <w:t xml:space="preserve"> kg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Dodatkowe informacje Możliwość zabezpieczenia linką (Kensington Lock), Wbudowany HUB USB, Regulacja kąta pochylenia, Regulacja wysokości (Height), Regulacja kąta obrotu,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Możliwość montażu na ścianie - VESA 100 x 100 mm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Skrócona instrukcja obsługi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 xml:space="preserve"> Instrukcja bezpieczeństwa </w:t>
            </w:r>
          </w:p>
          <w:p w:rsidR="006C0C0C" w:rsidRPr="00EA1F51" w:rsidRDefault="006C0C0C" w:rsidP="00EB4E39">
            <w:pPr>
              <w:pStyle w:val="Tekstpodstawowy"/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Gwarancja            36 miesięcy (gwarancja producenta)</w:t>
            </w:r>
          </w:p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C0C0C" w:rsidRPr="00EA1F51" w:rsidTr="00EB4E39">
        <w:tc>
          <w:tcPr>
            <w:tcW w:w="673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17.</w:t>
            </w:r>
          </w:p>
        </w:tc>
        <w:tc>
          <w:tcPr>
            <w:tcW w:w="1786" w:type="dxa"/>
          </w:tcPr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System</w:t>
            </w:r>
          </w:p>
        </w:tc>
        <w:tc>
          <w:tcPr>
            <w:tcW w:w="7747" w:type="dxa"/>
          </w:tcPr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  <w:lang w:val="en-US"/>
              </w:rPr>
              <w:t xml:space="preserve">System operacyjny: Windows 10 Professional 64-bit PL </w:t>
            </w:r>
          </w:p>
        </w:tc>
      </w:tr>
      <w:tr w:rsidR="006C0C0C" w:rsidRPr="00EA1F51" w:rsidTr="00EB4E39">
        <w:tc>
          <w:tcPr>
            <w:tcW w:w="673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18.</w:t>
            </w:r>
          </w:p>
        </w:tc>
        <w:tc>
          <w:tcPr>
            <w:tcW w:w="1786" w:type="dxa"/>
          </w:tcPr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Oprogramowanie</w:t>
            </w:r>
          </w:p>
        </w:tc>
        <w:tc>
          <w:tcPr>
            <w:tcW w:w="7747" w:type="dxa"/>
          </w:tcPr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 xml:space="preserve">Pakiet biurowy wersja edukacyjna </w:t>
            </w:r>
            <w:r w:rsidRPr="00EA1F51">
              <w:rPr>
                <w:rFonts w:ascii="Calibri" w:hAnsi="Calibri" w:cs="Calibri"/>
                <w:sz w:val="22"/>
                <w:szCs w:val="22"/>
                <w:shd w:val="clear" w:color="auto" w:fill="FFFFFF"/>
              </w:rPr>
              <w:t>Microsoft Office 2019 Pro MOLP EDU (wersja dożywotnia jednostanowiskowa)</w:t>
            </w:r>
          </w:p>
        </w:tc>
      </w:tr>
      <w:tr w:rsidR="006C0C0C" w:rsidRPr="00EA1F51" w:rsidTr="00EB4E39">
        <w:tc>
          <w:tcPr>
            <w:tcW w:w="673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19.</w:t>
            </w:r>
          </w:p>
        </w:tc>
        <w:tc>
          <w:tcPr>
            <w:tcW w:w="1786" w:type="dxa"/>
          </w:tcPr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Dodatki</w:t>
            </w:r>
          </w:p>
        </w:tc>
        <w:tc>
          <w:tcPr>
            <w:tcW w:w="7747" w:type="dxa"/>
          </w:tcPr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Rejestrator cyfrowy z funkcją mikrofonu USB:</w:t>
            </w:r>
          </w:p>
          <w:p w:rsidR="006C0C0C" w:rsidRPr="00EA1F51" w:rsidRDefault="006C0C0C" w:rsidP="006C0C0C">
            <w:pPr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 xml:space="preserve">Dwa mikrofony pojemnościowe w układzie X/Y rejestrujące dźwięk stereo </w:t>
            </w:r>
          </w:p>
          <w:p w:rsidR="006C0C0C" w:rsidRPr="00EA1F51" w:rsidRDefault="006C0C0C" w:rsidP="006C0C0C">
            <w:pPr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Wyświetlacz LCD</w:t>
            </w:r>
          </w:p>
          <w:p w:rsidR="006C0C0C" w:rsidRPr="00EA1F51" w:rsidRDefault="006C0C0C" w:rsidP="006C0C0C">
            <w:pPr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Rozbudowany ogranicznik sygnału umożliwiający wolne od zniekształceń nagrywanie do poziomu 120 dB SPL</w:t>
            </w:r>
          </w:p>
          <w:p w:rsidR="006C0C0C" w:rsidRPr="00EA1F51" w:rsidRDefault="006C0C0C" w:rsidP="006C0C0C">
            <w:pPr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 xml:space="preserve">Zasilanie dwoma bateriami AAA (do 10 godzin nieprzerwanej pracy) </w:t>
            </w:r>
          </w:p>
          <w:p w:rsidR="006C0C0C" w:rsidRPr="00EA1F51" w:rsidRDefault="006C0C0C" w:rsidP="006C0C0C">
            <w:pPr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 xml:space="preserve">Regulacja prędkości odtwarzania (Playback Speed Control) i powtarzanie A-B (A-B Repeat) </w:t>
            </w:r>
          </w:p>
          <w:p w:rsidR="006C0C0C" w:rsidRPr="00EA1F51" w:rsidRDefault="006C0C0C" w:rsidP="006C0C0C">
            <w:pPr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Funkcja Stereo Bounce do nakładania dźwięku na istniejące nagranie </w:t>
            </w:r>
          </w:p>
          <w:p w:rsidR="006C0C0C" w:rsidRPr="00EA1F51" w:rsidRDefault="006C0C0C" w:rsidP="006C0C0C">
            <w:pPr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 xml:space="preserve">Automatyczne nagrywanie, nagrywanie wstępne, programowanie czasu nagrywania </w:t>
            </w:r>
          </w:p>
          <w:p w:rsidR="006C0C0C" w:rsidRPr="00EA1F51" w:rsidRDefault="006C0C0C" w:rsidP="006C0C0C">
            <w:pPr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 xml:space="preserve">Zapis w formacie WAV (16/24 bity, 44,1/48/96 kHz) lub MP3 </w:t>
            </w:r>
          </w:p>
          <w:p w:rsidR="006C0C0C" w:rsidRPr="00EA1F51" w:rsidRDefault="006C0C0C" w:rsidP="006C0C0C">
            <w:pPr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 xml:space="preserve">Wbudowany głośnik mono: 500 mW 8Ω </w:t>
            </w:r>
          </w:p>
          <w:p w:rsidR="006C0C0C" w:rsidRPr="00EA1F51" w:rsidRDefault="006C0C0C" w:rsidP="006C0C0C">
            <w:pPr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 xml:space="preserve">Wejście liniowe/mikrofonowe ⅛" (mały jack) </w:t>
            </w:r>
          </w:p>
          <w:p w:rsidR="006C0C0C" w:rsidRPr="00EA1F51" w:rsidRDefault="006C0C0C" w:rsidP="006C0C0C">
            <w:pPr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Wyjście jack stereo 1/8" z dedykowanym woluminie control</w:t>
            </w:r>
          </w:p>
          <w:p w:rsidR="006C0C0C" w:rsidRPr="00EA1F51" w:rsidRDefault="006C0C0C" w:rsidP="006C0C0C">
            <w:pPr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Nagrywanie bezpośrednio na kartach SD i SDHC o pojemności do 32 GB</w:t>
            </w:r>
          </w:p>
          <w:p w:rsidR="006C0C0C" w:rsidRPr="00EA1F51" w:rsidRDefault="006C0C0C" w:rsidP="006C0C0C">
            <w:pPr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Port Micro USB do wymiany danych</w:t>
            </w:r>
          </w:p>
          <w:p w:rsidR="006C0C0C" w:rsidRPr="00EA1F51" w:rsidRDefault="006C0C0C" w:rsidP="006C0C0C">
            <w:pPr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W zestawie licencja na oprogramowanie zalecane przez Producenta</w:t>
            </w:r>
          </w:p>
          <w:p w:rsidR="006C0C0C" w:rsidRPr="00EA1F51" w:rsidRDefault="006C0C0C" w:rsidP="006C0C0C">
            <w:pPr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Akcesoria: ekran wiatrochronny, statyw mikrofonowy, zaczep do dyktafonu, pokrowiec, zasilacz sieciowy, kabel USB</w:t>
            </w:r>
          </w:p>
          <w:p w:rsidR="006C0C0C" w:rsidRPr="00EA1F51" w:rsidRDefault="006C0C0C" w:rsidP="006C0C0C">
            <w:pPr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Dodatkowy kabel USB micro USB-USB 3 m</w:t>
            </w:r>
          </w:p>
          <w:p w:rsidR="006C0C0C" w:rsidRPr="00EA1F51" w:rsidRDefault="006C0C0C" w:rsidP="006C0C0C">
            <w:pPr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Karta SDHC 32 GB</w:t>
            </w:r>
          </w:p>
        </w:tc>
      </w:tr>
      <w:tr w:rsidR="006C0C0C" w:rsidRPr="00EA1F51" w:rsidTr="00EB4E39">
        <w:tc>
          <w:tcPr>
            <w:tcW w:w="673" w:type="dxa"/>
          </w:tcPr>
          <w:p w:rsidR="006C0C0C" w:rsidRPr="00EA1F51" w:rsidRDefault="006C0C0C" w:rsidP="00EB4E3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lastRenderedPageBreak/>
              <w:t>20</w:t>
            </w:r>
          </w:p>
        </w:tc>
        <w:tc>
          <w:tcPr>
            <w:tcW w:w="1786" w:type="dxa"/>
          </w:tcPr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Głośniki</w:t>
            </w:r>
          </w:p>
        </w:tc>
        <w:tc>
          <w:tcPr>
            <w:tcW w:w="7747" w:type="dxa"/>
          </w:tcPr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 xml:space="preserve">Moc szczytowa 6 W/moc RMS 3 W </w:t>
            </w:r>
          </w:p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Membrana o średnicy 2 cali</w:t>
            </w:r>
            <w:r w:rsidR="000F36C1">
              <w:rPr>
                <w:rFonts w:ascii="Calibri" w:hAnsi="Calibri" w:cs="Calibri"/>
                <w:sz w:val="22"/>
                <w:szCs w:val="22"/>
              </w:rPr>
              <w:t xml:space="preserve"> +/-10%</w:t>
            </w:r>
            <w:bookmarkStart w:id="0" w:name="_GoBack"/>
            <w:bookmarkEnd w:id="0"/>
          </w:p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Gniazdo słuchawkowe i elementy sterujące zasilaniem i głośnością dostępne poprzez pokrętło na prawym głośniku</w:t>
            </w:r>
          </w:p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Wysokość głośników w przedziale 150-155 mm</w:t>
            </w:r>
          </w:p>
          <w:p w:rsidR="006C0C0C" w:rsidRPr="00EA1F51" w:rsidRDefault="006C0C0C" w:rsidP="00EB4E39">
            <w:pPr>
              <w:rPr>
                <w:rFonts w:ascii="Calibri" w:hAnsi="Calibri" w:cs="Calibri"/>
                <w:sz w:val="22"/>
                <w:szCs w:val="22"/>
              </w:rPr>
            </w:pPr>
            <w:r w:rsidRPr="00EA1F51">
              <w:rPr>
                <w:rFonts w:ascii="Calibri" w:hAnsi="Calibri" w:cs="Calibri"/>
                <w:sz w:val="22"/>
                <w:szCs w:val="22"/>
              </w:rPr>
              <w:t>waga – min 0.5 kg</w:t>
            </w:r>
          </w:p>
        </w:tc>
      </w:tr>
    </w:tbl>
    <w:p w:rsidR="006C0C0C" w:rsidRDefault="006C0C0C" w:rsidP="006C0C0C">
      <w:pPr>
        <w:pStyle w:val="Tytu"/>
        <w:spacing w:after="120"/>
        <w:ind w:left="539" w:hanging="539"/>
        <w:jc w:val="both"/>
        <w:rPr>
          <w:b/>
          <w:i/>
        </w:rPr>
      </w:pPr>
    </w:p>
    <w:p w:rsidR="006B79BA" w:rsidRPr="006B79BA" w:rsidRDefault="006B79BA" w:rsidP="006B79BA">
      <w:pPr>
        <w:rPr>
          <w:rFonts w:ascii="Tahoma" w:hAnsi="Tahoma" w:cs="Tahoma"/>
          <w:sz w:val="20"/>
          <w:szCs w:val="20"/>
          <w:lang w:eastAsia="en-US" w:bidi="ar-SA"/>
        </w:rPr>
      </w:pPr>
    </w:p>
    <w:sectPr w:rsidR="006B79BA" w:rsidRPr="006B79BA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573" w:rsidRDefault="00672573">
      <w:r>
        <w:separator/>
      </w:r>
    </w:p>
  </w:endnote>
  <w:endnote w:type="continuationSeparator" w:id="0">
    <w:p w:rsidR="00672573" w:rsidRDefault="00672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WenQuanYi Micro Hei">
    <w:charset w:val="00"/>
    <w:family w:val="auto"/>
    <w:pitch w:val="variable"/>
  </w:font>
  <w:font w:name="Lohit Devanagari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573" w:rsidRDefault="00672573">
      <w:r>
        <w:rPr>
          <w:color w:val="000000"/>
        </w:rPr>
        <w:separator/>
      </w:r>
    </w:p>
  </w:footnote>
  <w:footnote w:type="continuationSeparator" w:id="0">
    <w:p w:rsidR="00672573" w:rsidRDefault="006725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1083357B"/>
    <w:multiLevelType w:val="multilevel"/>
    <w:tmpl w:val="C1405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0A11D3"/>
    <w:multiLevelType w:val="hybridMultilevel"/>
    <w:tmpl w:val="5A4C78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2021AE"/>
    <w:multiLevelType w:val="hybridMultilevel"/>
    <w:tmpl w:val="9C34DE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71BA4"/>
    <w:multiLevelType w:val="hybridMultilevel"/>
    <w:tmpl w:val="128843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E00460"/>
    <w:multiLevelType w:val="hybridMultilevel"/>
    <w:tmpl w:val="1E60B8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E3FC3"/>
    <w:multiLevelType w:val="hybridMultilevel"/>
    <w:tmpl w:val="A66ADC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948"/>
    <w:rsid w:val="000D4948"/>
    <w:rsid w:val="000F36C1"/>
    <w:rsid w:val="003151CA"/>
    <w:rsid w:val="003C3498"/>
    <w:rsid w:val="005453EE"/>
    <w:rsid w:val="005F40AF"/>
    <w:rsid w:val="00672573"/>
    <w:rsid w:val="006B79BA"/>
    <w:rsid w:val="006C0C0C"/>
    <w:rsid w:val="00E06942"/>
    <w:rsid w:val="00F86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BDF70"/>
  <w15:docId w15:val="{6A475C2A-5666-4868-9959-4D71217EA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WenQuanYi Micro Hei" w:hAnsi="Liberation Serif" w:cs="Lohit Devanagari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B79BA"/>
    <w:pPr>
      <w:keepNext/>
      <w:keepLines/>
      <w:suppressAutoHyphens w:val="0"/>
      <w:autoSpaceDN/>
      <w:spacing w:before="240" w:line="259" w:lineRule="auto"/>
      <w:textAlignment w:val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:lang w:eastAsia="en-US" w:bidi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B79BA"/>
    <w:pPr>
      <w:keepNext/>
      <w:keepLines/>
      <w:suppressAutoHyphens w:val="0"/>
      <w:autoSpaceDN/>
      <w:spacing w:before="40" w:line="259" w:lineRule="auto"/>
      <w:textAlignment w:val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0"/>
      <w:sz w:val="26"/>
      <w:szCs w:val="26"/>
      <w:lang w:eastAsia="en-US" w:bidi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B79BA"/>
    <w:pPr>
      <w:keepNext/>
      <w:keepLines/>
      <w:suppressAutoHyphens w:val="0"/>
      <w:autoSpaceDN/>
      <w:spacing w:before="40" w:line="259" w:lineRule="auto"/>
      <w:textAlignment w:val="auto"/>
      <w:outlineLvl w:val="2"/>
    </w:pPr>
    <w:rPr>
      <w:rFonts w:asciiTheme="majorHAnsi" w:eastAsiaTheme="majorEastAsia" w:hAnsiTheme="majorHAnsi" w:cstheme="majorBidi"/>
      <w:color w:val="1F4D78" w:themeColor="accent1" w:themeShade="7F"/>
      <w:kern w:val="0"/>
      <w:lang w:eastAsia="en-US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Nagwektabeli">
    <w:name w:val="Nag?ówek tabeli"/>
    <w:basedOn w:val="Zawartotabeli"/>
    <w:pPr>
      <w:jc w:val="center"/>
    </w:pPr>
    <w:rPr>
      <w:b/>
      <w:bCs/>
    </w:rPr>
  </w:style>
  <w:style w:type="paragraph" w:customStyle="1" w:styleId="Zawartotabeli">
    <w:name w:val="Zawarto?? tabeli"/>
    <w:basedOn w:val="Standard"/>
    <w:pPr>
      <w:suppressLineNumbers/>
    </w:pPr>
  </w:style>
  <w:style w:type="paragraph" w:customStyle="1" w:styleId="WW-Nagwek1">
    <w:name w:val="WW-Nag?ówek1"/>
    <w:basedOn w:val="Standard"/>
    <w:next w:val="Textbody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paragraph" w:customStyle="1" w:styleId="WW-Nagwek">
    <w:name w:val="WW-Nag?ówek"/>
    <w:basedOn w:val="Standard"/>
    <w:next w:val="Textbody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paragraph" w:customStyle="1" w:styleId="Nagwek">
    <w:name w:val="Nag?ówek"/>
    <w:basedOn w:val="Standard"/>
    <w:next w:val="Textbody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StrongEmphasis">
    <w:name w:val="Strong Emphasis"/>
    <w:rPr>
      <w:b/>
      <w:bCs/>
    </w:rPr>
  </w:style>
  <w:style w:type="character" w:customStyle="1" w:styleId="NumberingSymbols">
    <w:name w:val="Numbering Symbols"/>
  </w:style>
  <w:style w:type="character" w:customStyle="1" w:styleId="WW-Absatz-Standardschriftart1">
    <w:name w:val="WW-Absatz-Standardschriftart1"/>
  </w:style>
  <w:style w:type="character" w:customStyle="1" w:styleId="WW-Absatz-Standardschriftart">
    <w:name w:val="WW-Absatz-Standardschriftart"/>
  </w:style>
  <w:style w:type="character" w:customStyle="1" w:styleId="Absatz-Standardschriftart">
    <w:name w:val="Absatz-Standardschriftart"/>
  </w:style>
  <w:style w:type="character" w:customStyle="1" w:styleId="Nagwek1Znak">
    <w:name w:val="Nagłówek 1 Znak"/>
    <w:basedOn w:val="Domylnaczcionkaakapitu"/>
    <w:link w:val="Nagwek1"/>
    <w:uiPriority w:val="9"/>
    <w:rsid w:val="006B79BA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6B79BA"/>
    <w:rPr>
      <w:rFonts w:asciiTheme="majorHAnsi" w:eastAsiaTheme="majorEastAsia" w:hAnsiTheme="majorHAnsi" w:cstheme="majorBidi"/>
      <w:color w:val="2E74B5" w:themeColor="accent1" w:themeShade="BF"/>
      <w:kern w:val="0"/>
      <w:sz w:val="26"/>
      <w:szCs w:val="26"/>
      <w:lang w:eastAsia="en-US" w:bidi="ar-SA"/>
    </w:rPr>
  </w:style>
  <w:style w:type="character" w:customStyle="1" w:styleId="Nagwek3Znak">
    <w:name w:val="Nagłówek 3 Znak"/>
    <w:basedOn w:val="Domylnaczcionkaakapitu"/>
    <w:link w:val="Nagwek3"/>
    <w:uiPriority w:val="9"/>
    <w:rsid w:val="006B79BA"/>
    <w:rPr>
      <w:rFonts w:asciiTheme="majorHAnsi" w:eastAsiaTheme="majorEastAsia" w:hAnsiTheme="majorHAnsi" w:cstheme="majorBidi"/>
      <w:color w:val="1F4D78" w:themeColor="accent1" w:themeShade="7F"/>
      <w:kern w:val="0"/>
      <w:lang w:eastAsia="en-US" w:bidi="ar-SA"/>
    </w:rPr>
  </w:style>
  <w:style w:type="table" w:styleId="Tabela-Siatka">
    <w:name w:val="Table Grid"/>
    <w:basedOn w:val="Standardowy"/>
    <w:uiPriority w:val="39"/>
    <w:rsid w:val="006B79BA"/>
    <w:pPr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6B79BA"/>
    <w:pPr>
      <w:suppressAutoHyphens w:val="0"/>
      <w:autoSpaceDN/>
      <w:textAlignment w:val="auto"/>
    </w:pPr>
    <w:rPr>
      <w:rFonts w:asciiTheme="minorHAnsi" w:eastAsia="Times New Roman" w:hAnsiTheme="minorHAnsi" w:cs="Times New Roman"/>
      <w:kern w:val="0"/>
      <w:sz w:val="22"/>
      <w:szCs w:val="22"/>
      <w:lang w:eastAsia="en-US" w:bidi="ar-SA"/>
    </w:rPr>
  </w:style>
  <w:style w:type="paragraph" w:styleId="Tytu">
    <w:name w:val="Title"/>
    <w:basedOn w:val="Normalny"/>
    <w:next w:val="Normalny"/>
    <w:link w:val="TytuZnak"/>
    <w:qFormat/>
    <w:rsid w:val="006B79BA"/>
    <w:pPr>
      <w:pBdr>
        <w:bottom w:val="single" w:sz="8" w:space="4" w:color="5B9BD5" w:themeColor="accent1"/>
      </w:pBdr>
      <w:suppressAutoHyphens w:val="0"/>
      <w:autoSpaceDN/>
      <w:spacing w:after="300"/>
      <w:contextualSpacing/>
      <w:textAlignment w:val="auto"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en-US" w:bidi="ar-SA"/>
    </w:rPr>
  </w:style>
  <w:style w:type="character" w:customStyle="1" w:styleId="TytuZnak">
    <w:name w:val="Tytuł Znak"/>
    <w:basedOn w:val="Domylnaczcionkaakapitu"/>
    <w:link w:val="Tytu"/>
    <w:rsid w:val="006B79B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en-US" w:bidi="ar-SA"/>
    </w:rPr>
  </w:style>
  <w:style w:type="paragraph" w:styleId="Akapitzlist">
    <w:name w:val="List Paragraph"/>
    <w:basedOn w:val="Normalny"/>
    <w:uiPriority w:val="34"/>
    <w:qFormat/>
    <w:rsid w:val="006B79BA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Tekstpodstawowy">
    <w:name w:val="Body Text"/>
    <w:basedOn w:val="Normalny"/>
    <w:link w:val="TekstpodstawowyZnak"/>
    <w:rsid w:val="006C0C0C"/>
    <w:pPr>
      <w:suppressAutoHyphens w:val="0"/>
      <w:autoSpaceDN/>
      <w:spacing w:line="360" w:lineRule="auto"/>
      <w:textAlignment w:val="auto"/>
    </w:pPr>
    <w:rPr>
      <w:rFonts w:ascii="Times New Roman" w:eastAsia="Times New Roman" w:hAnsi="Times New Roman" w:cs="Times New Roman"/>
      <w:kern w:val="0"/>
      <w:sz w:val="28"/>
      <w:lang w:val="x-none" w:eastAsia="x-none" w:bidi="ar-SA"/>
    </w:rPr>
  </w:style>
  <w:style w:type="character" w:customStyle="1" w:styleId="TekstpodstawowyZnak">
    <w:name w:val="Tekst podstawowy Znak"/>
    <w:basedOn w:val="Domylnaczcionkaakapitu"/>
    <w:link w:val="Tekstpodstawowy"/>
    <w:rsid w:val="006C0C0C"/>
    <w:rPr>
      <w:rFonts w:ascii="Times New Roman" w:eastAsia="Times New Roman" w:hAnsi="Times New Roman" w:cs="Times New Roman"/>
      <w:kern w:val="0"/>
      <w:sz w:val="28"/>
      <w:lang w:val="x-none" w:eastAsia="x-non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1241</Words>
  <Characters>7450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Kupczak</dc:creator>
  <cp:lastModifiedBy>Joanna Podsiadlik</cp:lastModifiedBy>
  <cp:revision>4</cp:revision>
  <dcterms:created xsi:type="dcterms:W3CDTF">2019-07-23T08:02:00Z</dcterms:created>
  <dcterms:modified xsi:type="dcterms:W3CDTF">2019-07-24T07:19:00Z</dcterms:modified>
</cp:coreProperties>
</file>