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BA" w:rsidRPr="006B79BA" w:rsidRDefault="006B79BA" w:rsidP="006B79BA">
      <w:pPr>
        <w:pStyle w:val="Tytu"/>
        <w:jc w:val="center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Załącznik – szczegółowy opis przedmiotu zamówienia</w:t>
      </w:r>
      <w:r w:rsidRPr="006B79BA">
        <w:rPr>
          <w:rFonts w:ascii="Tahoma" w:hAnsi="Tahoma" w:cs="Tahoma"/>
          <w:sz w:val="20"/>
          <w:szCs w:val="20"/>
        </w:rPr>
        <w:t xml:space="preserve"> ZP/DK-27/19</w:t>
      </w:r>
    </w:p>
    <w:p w:rsidR="006B79BA" w:rsidRPr="006B79BA" w:rsidRDefault="006B79BA" w:rsidP="006B79BA">
      <w:pPr>
        <w:rPr>
          <w:rFonts w:ascii="Tahoma" w:hAnsi="Tahoma" w:cs="Tahoma"/>
          <w:sz w:val="20"/>
          <w:szCs w:val="20"/>
          <w:lang w:eastAsia="en-US" w:bidi="ar-SA"/>
        </w:rPr>
      </w:pPr>
    </w:p>
    <w:p w:rsidR="006B79BA" w:rsidRPr="006B79BA" w:rsidRDefault="006B79BA" w:rsidP="006B79BA">
      <w:pPr>
        <w:pStyle w:val="Nagwek1"/>
        <w:rPr>
          <w:rFonts w:ascii="Tahoma" w:hAnsi="Tahoma" w:cs="Tahoma"/>
          <w:b/>
          <w:sz w:val="20"/>
          <w:szCs w:val="20"/>
        </w:rPr>
      </w:pPr>
      <w:r w:rsidRPr="006B79BA">
        <w:rPr>
          <w:rFonts w:ascii="Tahoma" w:hAnsi="Tahoma" w:cs="Tahoma"/>
          <w:b/>
          <w:sz w:val="20"/>
          <w:szCs w:val="20"/>
        </w:rPr>
        <w:t xml:space="preserve">ZADANIE 1. </w:t>
      </w:r>
    </w:p>
    <w:p w:rsidR="006B79BA" w:rsidRPr="006B79BA" w:rsidRDefault="006B79BA" w:rsidP="006B79BA">
      <w:pPr>
        <w:pStyle w:val="Nagwek1"/>
        <w:rPr>
          <w:rFonts w:ascii="Tahoma" w:hAnsi="Tahoma" w:cs="Tahoma"/>
          <w:b/>
          <w:sz w:val="20"/>
          <w:szCs w:val="20"/>
        </w:rPr>
      </w:pPr>
      <w:r w:rsidRPr="006B79BA">
        <w:rPr>
          <w:rFonts w:ascii="Tahoma" w:hAnsi="Tahoma" w:cs="Tahoma"/>
          <w:b/>
          <w:sz w:val="20"/>
          <w:szCs w:val="20"/>
        </w:rPr>
        <w:t>Zakup kompletu urządzeń klasy UTM wraz z oprogramowaniem służących do rozbudowy istniejącej infrastruktury uczelnianej.</w:t>
      </w:r>
    </w:p>
    <w:p w:rsidR="006B79BA" w:rsidRPr="006B79BA" w:rsidRDefault="006B79BA" w:rsidP="006B79BA">
      <w:pPr>
        <w:rPr>
          <w:rFonts w:ascii="Tahoma" w:hAnsi="Tahoma" w:cs="Tahoma"/>
          <w:sz w:val="20"/>
          <w:szCs w:val="20"/>
        </w:rPr>
      </w:pPr>
      <w:r w:rsidRPr="006B79BA">
        <w:rPr>
          <w:rStyle w:val="Nagwek2Znak"/>
          <w:rFonts w:ascii="Tahoma" w:hAnsi="Tahoma" w:cs="Tahoma"/>
          <w:sz w:val="20"/>
          <w:szCs w:val="20"/>
        </w:rPr>
        <w:br/>
        <w:t>Zintegrowane urządzenie sieciowe typu UTM  dla Uczelnianego Centrum Informatycznego.</w:t>
      </w:r>
      <w:r w:rsidRPr="006B79BA">
        <w:rPr>
          <w:rFonts w:ascii="Tahoma" w:hAnsi="Tahoma" w:cs="Tahoma"/>
          <w:b/>
          <w:sz w:val="20"/>
          <w:szCs w:val="20"/>
        </w:rPr>
        <w:br/>
      </w:r>
      <w:r w:rsidRPr="006B79BA">
        <w:rPr>
          <w:rFonts w:ascii="Tahoma" w:hAnsi="Tahoma" w:cs="Tahoma"/>
          <w:sz w:val="20"/>
          <w:szCs w:val="20"/>
        </w:rPr>
        <w:t>Komplet składający się z dwóch (2) urządzeń klasy Sophos XG 330 lub nowszych wraz z subskrypcją zabezpieczeń, zgodną z opisem poniżej.</w:t>
      </w:r>
    </w:p>
    <w:p w:rsidR="006B79BA" w:rsidRPr="006B79BA" w:rsidRDefault="006B79BA" w:rsidP="006B79BA">
      <w:pPr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Zaoferowane rozwiązanie kompletu urządzeń klasy UTM ma być dostarczone, zainstalowane i skonfigurowane według zaleceń Zamawiającego w jego siedzibie w Częstochowie przy ul. Dąbrowskiego 69. Wykonawca zobowiązuje się do przeprowadzenia na własny koszt szkolenia dla 3 administratorów w zakresie wdrożenia i zarządzania dostarczonymi urządzeniami w terminie ustalonym z Zamawiającym. Szkolenie musi zakończyć się testem i uzyskaniem dokumentu ukończenia kursu administracyjnego.</w:t>
      </w:r>
    </w:p>
    <w:p w:rsidR="006B79BA" w:rsidRPr="006B79BA" w:rsidRDefault="006B79BA" w:rsidP="006B79BA">
      <w:pPr>
        <w:jc w:val="both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Zamawiający posiada system zabezpieczenia sieciowego oparty o urządzenia Cyberoam i Sophos wraz z oprogramowaniem zarządzającym Cyberoam CCC jak i oprogramowaniem raportującym Cyberoam iView. Zamawiający przeprowadził migrację urządzeń Cyberoam na firmware firmy Sophos i zamierza rozpocząć korzystać z oprogramowania Sophos Firewall Manager oraz Sophos iView. Powyższy zakup służy rozbudowie środowiska o ochronę dodatkowych węzłów sieci. Zamawiający dopuszcza rozwiązania równoważne, pod warunkiem udowodnienia równoważności w zakresie podanym poniżej:</w:t>
      </w:r>
    </w:p>
    <w:p w:rsidR="006B79BA" w:rsidRPr="006B79BA" w:rsidRDefault="006B79BA" w:rsidP="006B79BA">
      <w:pPr>
        <w:pStyle w:val="Nagwek3"/>
        <w:rPr>
          <w:rFonts w:ascii="Tahoma" w:hAnsi="Tahoma" w:cs="Tahoma"/>
          <w:sz w:val="20"/>
          <w:szCs w:val="20"/>
        </w:rPr>
      </w:pPr>
    </w:p>
    <w:p w:rsidR="006B79BA" w:rsidRPr="006B79BA" w:rsidRDefault="006B79BA" w:rsidP="006B79BA">
      <w:pPr>
        <w:pStyle w:val="Nagwek3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Sophos XG 330 lub nowszy</w:t>
      </w:r>
    </w:p>
    <w:tbl>
      <w:tblPr>
        <w:tblStyle w:val="Tabela-Siatka"/>
        <w:tblW w:w="9639" w:type="dxa"/>
        <w:jc w:val="center"/>
        <w:tblLook w:val="04A0" w:firstRow="1" w:lastRow="0" w:firstColumn="1" w:lastColumn="0" w:noHBand="0" w:noVBand="1"/>
      </w:tblPr>
      <w:tblGrid>
        <w:gridCol w:w="9639"/>
      </w:tblGrid>
      <w:tr w:rsidR="006B79BA" w:rsidRPr="006B79BA" w:rsidTr="00017CA1">
        <w:trPr>
          <w:jc w:val="center"/>
        </w:trPr>
        <w:tc>
          <w:tcPr>
            <w:tcW w:w="13608" w:type="dxa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ARCHITEKTURA SYSTEMU OCHRONY</w:t>
            </w:r>
          </w:p>
        </w:tc>
      </w:tr>
      <w:tr w:rsidR="006B79BA" w:rsidRPr="006B79BA" w:rsidTr="00017CA1">
        <w:trPr>
          <w:jc w:val="center"/>
        </w:trPr>
        <w:tc>
          <w:tcPr>
            <w:tcW w:w="13608" w:type="dxa"/>
            <w:tcBorders>
              <w:bottom w:val="single" w:sz="4" w:space="0" w:color="auto"/>
            </w:tcBorders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ochrony sieci musi zostać dostarczony w postaci komercyjnej platformy sprzętowej z zabezpieczonym systemem operacyjnym w aktualnej wersji sprzętowej i programowej.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wspierać następujące tryby pracy: routing (warstwa 3), bridge (warstwa 2) i hybrydowy (część jako router, część jako bridge).</w:t>
            </w:r>
          </w:p>
        </w:tc>
      </w:tr>
      <w:tr w:rsidR="006B79BA" w:rsidRPr="006B79BA" w:rsidTr="00017CA1">
        <w:trPr>
          <w:jc w:val="center"/>
        </w:trPr>
        <w:tc>
          <w:tcPr>
            <w:tcW w:w="13608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ochrony musi spełniać wymagania w niżej wymienionym zakresie.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Obsługa nielimitowanej ilości hostów w sieci chronionej.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Procesor: minimum czterordzeniowy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Pamięć RAM: nie mniej niż 10 GB</w:t>
            </w:r>
          </w:p>
          <w:p w:rsidR="006B79BA" w:rsidRPr="006B79BA" w:rsidRDefault="006B79BA" w:rsidP="00017CA1">
            <w:pPr>
              <w:pStyle w:val="Bezodstpw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Metalowa obudowa o wysokości max 1U przeznaczona do montażu w szafie RACK 19’’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liczba i typ interfejsów fizycznych: 8x GE (IEEE 1000Base-T), 2x GE (IEEE 1000Base-X), 2x 10GE (IEEE 10GBase-X), 2x USB (Type-A), 1x Console (RJ-45 lub DB9), 1xHDMI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Zainstalowane wkładki wielomodowe:  IEEE 1000Base-X 2 szt., IEEE 10GBase-X 1 szt.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liczba nowych połączeń na sekundę: 200 000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liczba jednoczesnych połączeń: 17 000 000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przepustowość Firewall (IMIX/PPS): 12 000 Mbps / 2 000 000 pps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przepustowość IPS: 8 000 Mbps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przepustowość Web Proxy AV: 6 000 Mbps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przepustowość IPSec: 1 000 Mbps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Minimalna liczba równoczesnych tuneli SSL VPN: 250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Maksymalne zużycie energii przy pełnym obciążeniu: 60W przy 190BTU/h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Dodatkowe złącze pozwalające na podłączenie jednego z modułów: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8 miedzianych portów GE,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8 portów SFP GE,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B79BA">
              <w:rPr>
                <w:rFonts w:ascii="Tahoma" w:hAnsi="Tahoma" w:cs="Tahoma"/>
                <w:sz w:val="20"/>
                <w:szCs w:val="20"/>
                <w:lang w:val="en-US"/>
              </w:rPr>
              <w:t>2 porty 10GE SFP+,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B79BA">
              <w:rPr>
                <w:rFonts w:ascii="Tahoma" w:hAnsi="Tahoma" w:cs="Tahoma"/>
                <w:sz w:val="20"/>
                <w:szCs w:val="20"/>
                <w:lang w:val="en-US"/>
              </w:rPr>
              <w:t>4 porty 10 GE SFP+,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2 porty 40 GE QSFP+,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4 porty GE POE,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8 portów GE POE.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Zasilanie: 240V AC, 60Hz, możliwość podłączenia zasilacza redundantnego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Zintegrowany dysk SSD do celów logowania i raportowania o pojemności nie mniejszej niż 120 GB.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Zintegrowany wielofunkcyjny wyświetlacz LCD.</w:t>
            </w:r>
          </w:p>
        </w:tc>
      </w:tr>
      <w:tr w:rsidR="006B79BA" w:rsidRPr="006B79BA" w:rsidTr="00017CA1">
        <w:trPr>
          <w:jc w:val="center"/>
        </w:trPr>
        <w:tc>
          <w:tcPr>
            <w:tcW w:w="13608" w:type="dxa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POZOSTAŁE</w:t>
            </w:r>
          </w:p>
        </w:tc>
      </w:tr>
      <w:tr w:rsidR="006B79BA" w:rsidRPr="006B79BA" w:rsidTr="00017CA1">
        <w:trPr>
          <w:jc w:val="center"/>
        </w:trPr>
        <w:tc>
          <w:tcPr>
            <w:tcW w:w="13608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color w:val="FF0000"/>
                <w:sz w:val="20"/>
                <w:szCs w:val="20"/>
              </w:rPr>
              <w:lastRenderedPageBreak/>
              <w:t>Subskrypcje:</w:t>
            </w:r>
            <w:r w:rsidRPr="006B79BA">
              <w:rPr>
                <w:rFonts w:ascii="Tahoma" w:hAnsi="Tahoma" w:cs="Tahoma"/>
                <w:color w:val="FF0000"/>
                <w:sz w:val="20"/>
                <w:szCs w:val="20"/>
              </w:rPr>
              <w:t xml:space="preserve"> Oferta musi zawierać subskrypcje dla wszystkich wymaganych modułów na okres nie krótszy niż </w:t>
            </w:r>
            <w:r w:rsidRPr="006B79BA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60 miesięcy.</w:t>
            </w:r>
            <w:r w:rsidRPr="006B79BA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  <w:r w:rsidRPr="006B79BA">
              <w:rPr>
                <w:rFonts w:ascii="Tahoma" w:hAnsi="Tahoma" w:cs="Tahoma"/>
                <w:sz w:val="20"/>
                <w:szCs w:val="20"/>
              </w:rPr>
              <w:t>Możliwość automatycznego pobierania subskrypcji dla wszystkich wymaganych modułów w okresie trwania subskrypcji.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Gwarancja i wsparcie:</w:t>
            </w:r>
            <w:r w:rsidRPr="006B79BA">
              <w:rPr>
                <w:rFonts w:ascii="Tahoma" w:hAnsi="Tahoma" w:cs="Tahoma"/>
                <w:sz w:val="20"/>
                <w:szCs w:val="20"/>
              </w:rPr>
              <w:t xml:space="preserve"> Wsparcie techniczne w trybie 8x5 na okres nie krótszy niż </w:t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60 miesięcy</w:t>
            </w:r>
            <w:r w:rsidRPr="006B79BA">
              <w:rPr>
                <w:rFonts w:ascii="Tahoma" w:hAnsi="Tahoma" w:cs="Tahoma"/>
                <w:sz w:val="20"/>
                <w:szCs w:val="20"/>
              </w:rPr>
              <w:t xml:space="preserve">. Gwarancja na sprzęt na okres nie krótszy niż </w:t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60 miesięcy</w:t>
            </w:r>
            <w:r w:rsidRPr="006B79BA">
              <w:rPr>
                <w:rFonts w:ascii="Tahoma" w:hAnsi="Tahoma" w:cs="Tahoma"/>
                <w:sz w:val="20"/>
                <w:szCs w:val="20"/>
              </w:rPr>
              <w:t>. Możliwość automatycznego pobierania nowego oprogramowania, aktualizacji i poprawek w okresie trwania gwarancji.</w:t>
            </w:r>
          </w:p>
        </w:tc>
      </w:tr>
    </w:tbl>
    <w:p w:rsidR="006B79BA" w:rsidRPr="006B79BA" w:rsidRDefault="006B79BA" w:rsidP="006B79BA">
      <w:pPr>
        <w:rPr>
          <w:rFonts w:ascii="Tahoma" w:hAnsi="Tahoma" w:cs="Tahoma"/>
          <w:sz w:val="20"/>
          <w:szCs w:val="20"/>
        </w:rPr>
      </w:pPr>
    </w:p>
    <w:tbl>
      <w:tblPr>
        <w:tblStyle w:val="Tabela-Siatka"/>
        <w:tblW w:w="9639" w:type="dxa"/>
        <w:jc w:val="center"/>
        <w:tblLook w:val="04A0" w:firstRow="1" w:lastRow="0" w:firstColumn="1" w:lastColumn="0" w:noHBand="0" w:noVBand="1"/>
      </w:tblPr>
      <w:tblGrid>
        <w:gridCol w:w="1845"/>
        <w:gridCol w:w="7794"/>
      </w:tblGrid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br w:type="page"/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PODSTAWOWE FUNKCJE SYSTEMU OCHRONY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Zarządzanie i utrzymanie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być zarządzanie przez wbudowany webowy graficzny interfejs użytkownika (Web GUI).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Wbudowany webowy graficzny interfejs użytkownika musi oferować narzędzia diagnostyczne takie jak co najmniej: ping, traceroute, name lookup, route lookup.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Interfejs graficzny musi zapewniać narzędzia do przechwytywania pakietów, wyświetlania otwartych połączeń sieciowych, wyświetlania tablicy ARP/NDP.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pełen wiersz poleceń dostępny z poziomu interfejsu graficznego urządzenia, portu konsolowego oraz protokołu SSH z autoryzacją za pośrednictwem kluczy RSA, DSA lub ECDSA o długości min. 4096 bitów.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definiowania profili administracyjnych określających dostęp do poszczególnych modułów konfiguracyjnych urządzenia na prawach: brak dostępu, dostęp tylko do odczytu lub pełen odczyt i zapis.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opcję automatycznego wylogowania administratora po zdefiniowanym czasie bezczynności.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możliwość zdefiniowania polityki bezpieczeństwa dla haseł administratorów w zakresie minimalnej ilości znaków czy złożoności hasła.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mechanizm blokady kolejnych połączeń w przypadku prób nieautoryzowanego dostępu do interfejsu do zarządzania. Liczba takich prób oraz czas blokady powinny być swobodnie definiowane przez administratora.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posiadać mechanizm informowania o aktualizacjach oprogramowania systemowego wraz z automatycznym procesem ich aplikowania (upgrade) i wycofywania (rollback).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możliwość zdefiniowania własnych obiektów typu sieć, usługa, host, harmonogram czasowy, użytkownik, grupa użytkowników, klient, serwer z możliwością wykorzystania ich do budowy polityk bezpieczeństwa. Dodawanie tego typu obiektów musi być możliwe bezpośrednio podczas tworzenia dowolnej polisy bezpieczeństwa.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samoobsługowy portal dla użytkowników celem zmniejszenia liczby zadań wymagających udziału administratora.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mechanizm pozwalający na śledzenie zmian w konfiguracji.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elastyczne zarządzanie dostępem do usług administracyjnych na poziomie stref zapory sieciowej.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być wyposażony w mechanizm automatycznego powiadamiania za pośrednictwem protokołów SMTP lub SNMP.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protokołów SNMP v1, v2 i v3 oraz co najmniej Netflow v5 (lub odpowiednik).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monitorowanie w czasie rzeczywistym stanu urządzenia (użycie CPU, RAM, HDD, obciążenie interfejsów sieciowych). Podobne statystyki powinny być dostępne również dla danych historycznych, z retencją do 12 miesięcy (celem śledzenia trendów obciążenia) w ramach webowego interfejsu graficznego urządzenia.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możliwość integracji z centralnym systemem do zarządzania działającym on-premise lub on-cloud.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Wymagane jest aby rozwiązanie oferowało wbudowany mechanizm do tworzenia kopii zapasowych konfiguracji z zapisem do pliku lokalnego, do serwera FTP lub via email.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mechanizm pozwalający na automatyczne tworzenie kopii zapasowych w odstępach czasowych: codziennie, raz w tygodniu lub raz w miesiącu.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Dostarczony system musi posiadać udokumentowane API umożliwiające integrację z systemami firm trzecich.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lastRenderedPageBreak/>
              <w:t>Rozwiązanie musi zapewnić możliwość uruchomienia zdalnego dostępu dla pracowników wsparcia technicznego bez konieczności tworzenia czy modyfikowania polis zapory sieciowej.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Zarządzanie licencjami i subskrypcjami musi odbywać się za pośrednictwem portalu on-cloud a synchronizacja subskrypcji on-line powinna odbywać się bez konieczności pobierania, przechowywania czy wgrywania plików z licencjami.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przechowywanie przynajmniej dwóch wersji oprogramowania systemowego (firmware).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ochrony musi umożliwiać rozbudowę i utworzenie klastra złożonego z dwóch urządzeń w celu zapewnienia wysokiej dostępności w trybie Active-Active lub Active-Passive.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 przypadku klastra Active-Passive nie może być wymagany zakup dodatkowej licencji (w tym na drugie urządzenie).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Zapora sieciowa, konfiguracja sieciowa oraz routing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Wymagane jest aby zapora sieciowa działała w oparciu o mechanizm Stateful Deep Packet Inspection.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budowanie polis w oparciu o takie obiekty jak sieć, użytkownik, grupa lub czas.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budowanie polis bezpieczeństwa dla użytkowników i grup użytkowników w oparciu o definiowane przez administratora harmonogramy czasowe.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Polisy zapory powinny umożliwiać egzekwowanie ruchu dla poszczególnych stref, sieci lub usług.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tworzenia polis w oparciu o relacje między strefami zapory sieciowej.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ochrony musi zawierać predefiniowane strefy typu: LAN, WAN, DMZ, LOCAL/SELF, VPN.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definiowania własnych stref zapory sieciowej.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pozwolić na definiowanie własnych polis NAT wraz z IP masquerading.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ochronę przed atakami DoS czy DDoS (flood protection).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ochrona przed skanowaniem portów (portscan blocking).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blokowanie ruchu na podstawie kraju pochodzenia (geolokalizacja IP).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obsługę routingu statycznego.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obsługę protokołów routingu dynamicznego (RIP, BGP, OSPF).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obsługę Protocol Independent Multicast Sparse Mode (PIM-SM).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wsparcie dla IGMP snooping.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przekierowania ruchu do nadrzędnego serwera proxy (upstream/parrent proxy).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łączenia interfejsów w warstwie L2 (bridge) wraz z STP oraz przekazywaniem ruchu rozgłoszeniowego ARP.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tworzenia wielu mostów (multiple bridge) oraz mostów zbudowanych z wielu portów (multiport bridge).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funkcjonalność serwera DHCP dla IPv4 oraz IPv6 i DHCP Relay.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wsparcie dla IEEE 802.3Q VLAN z niezależnymi pulami DHCP.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Rozwiązanie musi zapewniać rozkład ruchu pomiędzy wieloma interfejsami WAN, z automatyczną diagnostyką łączy oraz automatycznym przełączaniem ruchu w przypadku awarii łącza.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rozkładanie ruchu do strefy WAN w oparciu o wagi interfejsów.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Policy Based Routing oraz Multipath Rules.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Wymagane jest by rozwiązanie zapewniało obsługę dowolnych modemów USB 3G/LTE/UMTS pochodzących od dowolnego producenta.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agregowania linków fizycznych w oparciu o IEEE 802.3ad (LACP).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pełną obsługę usług DNS, DHCP oraz NTP.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wsparcie dla usług Dynamic DNS takich jak DynDNS, ZoneEdit, EasyDNS, DynAcces lub inną oferowana przez producenta rozwiązania.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lastRenderedPageBreak/>
              <w:t>Rozwiązanie musi zapewniać wsparcie dla IPv6 wraz z tunelowaniem 6in4, 6to4, 4in6 oraz IPv6 rapid deployment (6rd).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Podstawowe kształtowanie pasma oraz limity ilości danych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możliwość elastycznego kształtowania pasma (QoS) dla sieci lub użytkowników.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pozwalać na tworzenie limitów ilości danych dla użytkowników w kierunku upload, download lub total. Limity powinny być przyznawane cykliczne lub niecykliczne.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mieć zaimplementowane mechanizmy optymalizujące ruch VoIP.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Bezpieczna sieć bezprzewodowa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Ze względu na planowaną rozbudowę systemu o obsługę sieci WiFi, oferowany system musi zapewniać obsługę punktów dostępowych sieci bezprzewodowej producenta rozwiązania.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Wymagana jest obsługa punktów dostępowych sieci bezprzewodowej pracujących w trybach Wireless Bridge oraz Wireless Repeater.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Wdrożenie punktów dostępowych sieci bezprzewodowej musi odbywać się na zasadzie plug-and-play, gdzie punkty dostępowe powinny automatycznie odnaleźć kontroler sieci bezprzewodowej zintegrowany w dostarczanym rozwiązaniu.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Zarządzanie punktami dostępowymi sieci bezprzewodowej musi odbywać się z poziomu webowego interfejsu graficznego rozwiązania oferując centralne monitorowanie i zarządzanie tak punktami dostępowymi jak klientami sieci bezprzewodowej.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Punkty dostępowe sieci bezprzewodowej powinny być powiązane z siecią lokalną, siecią VLAN lub dedykowaną strefą zapory zachowując możliwość izolacji klientów sieci bezprzewodowej.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obsługę wielu SSID w możliwością wyłączenia rozgłaszania identyfikatorów sieci bezprzewodowej.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WPA2 Personal oraz WPA2 Enterprise.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wsparcie dla IEEE 802.1X (RADIUS Authentication).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IEEE 802.11r (Fast Transition).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System musi umożliwiać tworzenie hot spotów z możliwością definiowania własnych voucherów.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Dostęp do sieci bezprzewodowej musi być możliwy po zaakceptowaniu warunków, wprowadzeniu hasła dnia, kodu z vouchera lub po autoryzacji z użyciem nazwy użytkownika oraz hasła dla gości.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możliwość tworzenia sieci dla gości w wariancie walled garden.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pozwalać na ograniczanie dostępu do sieci bezprzewodowej w oparciu o harmonogramy czasowe.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zawierać działający w tle mechanizm cyklicznego automatycznego doboru kanałów sieci bezprzewodowej oraz wykrywania wrogich punktów dostępowych (Rogue AP detection).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Autoryzacja użytkowników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B79BA">
              <w:rPr>
                <w:rFonts w:ascii="Tahoma" w:hAnsi="Tahoma" w:cs="Tahoma"/>
                <w:sz w:val="20"/>
                <w:szCs w:val="20"/>
                <w:lang w:val="en-US"/>
              </w:rPr>
              <w:t>Wymagana praca w trybie Transparent Proxy Authentication (NTLM/Kerberos) lub Client Authentication.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być wyposażone w lokalną bazę użytkowników umożliwiającą wykreowanie nie mniej niż 500 kont.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możliwość autentykacji w oparciu o Active Directory, eDirectory, RADIUS, LDAP i TACACS+.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automatyczne uwierzytelnianie i identyfikowanie użytkowników w trybie Single Sign On (SSO) w środowiskach opartych o Active Directory oraz eDirectory.</w:t>
            </w:r>
          </w:p>
          <w:p w:rsidR="006B79BA" w:rsidRPr="006B79BA" w:rsidRDefault="006B79BA" w:rsidP="00017CA1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 w:rsidRPr="006B79BA">
              <w:rPr>
                <w:rFonts w:ascii="Tahoma" w:eastAsia="Times New Roman" w:hAnsi="Tahoma" w:cs="Tahoma"/>
                <w:sz w:val="20"/>
                <w:szCs w:val="20"/>
              </w:rPr>
              <w:t>Dodatkowo system musi umożliwiać autoryzację dwustopniową za pomocą hasła jednorazowego (One Time Password).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automatyczne uwierzytelnianie i identyfikowanie użytkowników w trybie Single Sign On (SSO) w środowisku opartym o Windows Terminal Server.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możliwość uwierzytelniania użytkowników za pośrednictwem oprogramowania (klienta) dostępnego dla platform Windows, Mac OS X, Linux, iOS, Android.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uwierzytelniania klientów VPN w tym IPSec, SSL, PPTP.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uwierzytelniania przez wbudowany Captive Portal.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Samoobsługowy portal dla użytkowników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udostępniać plik instalacyjny agenta do autentykacji w sieci.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udostępniać plik instalacyjny klienta SSL VPN dla Windows (wraz z konfiguracją).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udostępniać plik z konfiguracją dla klienta SSL VPN dla Windows.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udostępniać plik z konfiguracją dla klientów SSL VPN dla innych systemów operacyjnych w tym dla Mac OS X, Linux, iOS, Android.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zmianę nazwy użytkownika oraz hasła.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pozwalać na podglądu statystyk ruchu generowanego przez użytkownika.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samoobsługowe zarządzanie kwarantanną dla wiadomości email.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Podstawowe opcje VPN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funkcjonalność koncentratora VPN w zakresie połączeń: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Site-to-site VPN: IPSec, 256-bit AES/3DES, PFS, autoryzacja z użyciem klucza RSA, PKI (X.509) lub współdzielonego klucza Pre-Shared Key (PSK)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Client-to-site VPN: IPSec, PPTP, L2TP, SSL (klient dla Windows dostępny z poziomu samoobsługowego portalu użytkownika).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Klient IPSec VPN (dostępny osobno)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Autoryzacja poprzez współdzielony klucz Pre-Shared Key (PSK), PKI (X.509), Smartcard, Token + XAUTH.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Szyfrowanie z użyciem AES (128/192/256), DES, 3DES (112/168), Blowfish, RSA (2048 bit), DH grupy 1/2/5/14, MD5 oraz SHA-256/384/512.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Wsparcie dla split-tunneling.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Wsparcie dla NAT-traversal.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Monitorowanie stanu połączenia.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SIECI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IPS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Moduł ochrony klasy IPS z bazą minimum 7000 sygnatur.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dodawania własnych sygnatur IPS.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Wymagane jest by system automatycznie aktualizował sygnatury zagrożeń.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wyłączenia/włączenia poszczególnych kategorii/sygnatur w celu zredukowania opóźnień w przesyłaniu pakietów.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generować alerty w przypadku wykrycia ataku.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ATP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ochrony musi zapewniać wykrywanie i/lub blokadę wszelkich prób nawiązywania połączenia z podejrzanymi serwerami Command and Control.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Clientless VPN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Udostępnianie zasobów w postaci usług HTTP, HTTPS, RDP, VNC, SSH, Telnet, FTP, FTPS, SFTP, SMB za pośrednictwem szyfrowanego kanału komunikacji realizowanego przy użyciu przeglądarki web obsługującej HTML5.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I KONTROLA WEB ORAZ APLIKACJI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i kontrola Web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działać jako Transparent Web Proxy filtrując treści oraz szkodliwe oprogramowanie w obrębie protokołów HTTP i HTTPS.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Moduł pozwalający na wykrycie i/lub blokadę prób nawiązywania połączenia z podejrzanymi serwerami Command and Control (ATP).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oferujący inspekcję i ochronę przed malware dla protokołów HTTP, HTTPS oraz FTP.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możliwość uruchomienia drugiego niezależnego silnika antywirusowego.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automatyczne odpytywać bazy producenta (on-cloud) w trybie rzeczywistym (tzw. live lookups).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skanowanie plików w czasie rzeczywistym (real-time) lub partiami (batch).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funkcję inspekcji tunelowanego ruchu SSL wraz z tzw. walidacją certyfikatów.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funkcję Web cache dla ograniczenia zużycia pasma.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filtrować pliki na podstawie tak rozszerzeń jak i nagłówków MIME.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filtrowanie plików Activex, apletów , cookies.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możliwość emulacji skryptów JavaScript.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filtrowania wyników wyszukiwania z użyciem SafeSearch.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lastRenderedPageBreak/>
              <w:t>Rozwiązanie musi zawierać przynajmniej 90 kategorii stron www i umożliwiać tworzenie własnych kategorii stron www.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blokowanie wysyłania treści poprzez HTTP i HTTPS.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blokadę stron HTTPS.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blokować anonimowe proxy działające poprzez HTTP i HTTPS.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definiowanie polityk dostępu do internetu w oparciu o harmonogramy dzienne/tygodniowe/miesięczne/roczne dla użytkowników i grup użytkowników.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wyświetlać komunikat o przyczynie zablokowania dostępu do strony www. Administrator musi mieć możliwość edytowania treści komunikatu i dodania logo organizacji.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Ochrona i kontrola aplikacji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bazę danych opisująca co najmniej 2500 aplikacji.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automatyczną aktualizację sygnatur aplikacji.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wykrywanie i kontrolę mikro-aplikacji.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identyfikować aplikacje niezależnie od wykorzystywanego portu, protokołu, szyfrowania.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Rozwiązanie musi umożliwiać blokowanie: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- aplikacji, które pozwalają na transfer plików (np. P2P).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- komunikatorów internetowych, przynajmniej Skype, Gadu-gadu.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- proxy uruchamianych poprzez przeglądarki internetowe.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B79BA">
              <w:rPr>
                <w:rFonts w:ascii="Tahoma" w:hAnsi="Tahoma" w:cs="Tahoma"/>
                <w:sz w:val="20"/>
                <w:szCs w:val="20"/>
                <w:lang w:val="en-US"/>
              </w:rPr>
              <w:t>- streaming media (radio internetowe, Youtube, Vimeo).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szczegółową kontrolę dostępu do Facebooka, przynajmniej na poziomie zamieszczania postów, chatu, uruchamiania aplikacji, uruchamiania gier, upload plików graficznych i wideo.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Kształtowanie pasma dla Web i Aplikacji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Rozwiązanie musi oferować funkcjonalność pozwalająca na kształtowanie pasma per kategoria stron lub per aplikacja celem ograniczenia lub zagwarantowania odpowiedniego pasma w kierunku upload/download/łącznie. 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nadawania priorytetów dla określonego typu ruchu.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gwarantowania pasma w trybie indywidualnym (per użytkownik) oraz współdzielonym (shared).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I KONTROLA EMAIL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i kontrola Email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wyboru trybu pracy: Transparent Email Proxy lub Explicit Email Proxy (jako MTA).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inspekcję komunikacji email realizowanej przy użyciu protokołów SMTP, SMTPS, POP3, POP3S, IMAP, IMAPS.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ochronę przed spamem i szkodliwym oprogramowaniem w trakcie transakcji SMTP.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uruchomienie drugiego niezależnego silnika antywirusowego.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automatyczne odpytywać bazy producenta (on-cloud) w trybie rzeczywistym (tzw. live lookups).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automatyczną aktualizację sygnatur zagrożeń.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wykrywanie, blokowanie i skanowanie załączników.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akceptowanie lub odrzucanie wiadomości przekraczających określony przez administratora rozmiar.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wykrywać próby phishingu przez analizę adresów URL zamieszczanych w treści wiadomości.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ochronę przed wyciekiem danych (DLP) na podstawie predefiniowanych wzorców lub kryteriów zdefiniowanych przez administratora.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oferować mechanizm analizy ruchu szyfrowanego TLS dla SMTP, POP oraz IMAP.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dodanie stopki do każdej wiadomości wychodzącej.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archiwizowanie wiadomości email.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współpracować z co najmniej dwoma bazami RBL.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tworzenie białych i czarnych list adresów IP  i email.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wykrywanie spamu niezależnie od stosowanego języka.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blokować spam w postaci plików graficznych np. wiadomości z tekstem osadzonym w obrazku.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Kwarantanna Email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wbudowany system kwarantanny dla wiadomości sklasyfikowanych jako spam z opcją powiadamiania użytkownika.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wbudowany system kwarantanny dla wiadomości sklasyfikowanych jako zainfekowane przez malware.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zapewniać możliwość przeglądania kwarantanny z opcją wyszukiwania wiadomości i opcjami filtrowania po dacie, nadawcy, odbiorcy, temacie wraz z opcją zwalniania lub usuwania wiadomości z kwarantanny (przez samoobsługowy portal użytkownika).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OCHRONA SERWERÓW APLIKACYJNYCH WEB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WAF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Dodatkowy moduł ochrony klasy Web Application Firewall.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Funkcjonalność oparta o mechanizm Reverse Proxy.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B79BA">
              <w:rPr>
                <w:rFonts w:ascii="Tahoma" w:hAnsi="Tahoma" w:cs="Tahoma"/>
                <w:sz w:val="20"/>
                <w:szCs w:val="20"/>
                <w:lang w:val="en-US"/>
              </w:rPr>
              <w:t>Rozwiązanie musi oferować mechanizm URL hardening with deep-linking and directory traversal prevention.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mechanizm Form hardening.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ochronę przed SQL injection.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ochronę przed Cross-site scripting.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zapewniać inspekcję ruchu HTTP oraz HTTPS (SSL).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uruchomienie drugiego niezależnego silnika antywirusowego.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pozwalać na podpisywanie plików cookies.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Path-based routing.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wsparcie dla Outlook Anywhere.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Mechanizm Reverse authentication z automatycznym dodawaniem prefixu lub suffixu w trakcie autoryzacji użytkownika.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umożliwiające publikowanie aplikacji web w Internecie na zasadzie wirtualnych serwerów aplikacyjnych.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mechanizm rozkładający ruch odwiedzających między rzeczywiste serwery aplikacyjne (Load Balancing).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stosowania masek typu wildcard dla ścieżek dostępowych.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System musi umożliwiać stosowanie operatorów logicznych AND/OR.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tabs>
                <w:tab w:val="left" w:pos="2505"/>
                <w:tab w:val="center" w:pos="7194"/>
              </w:tabs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LOGOWANIE I RAPORTOWANIE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Logowanie i raportowanie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widowControl w:val="0"/>
              <w:suppressAutoHyphens/>
              <w:ind w:right="86"/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umożliwiać składowanie oraz archiwizację logów.</w:t>
            </w:r>
          </w:p>
          <w:p w:rsidR="006B79BA" w:rsidRPr="006B79BA" w:rsidRDefault="006B79BA" w:rsidP="00017CA1">
            <w:pPr>
              <w:widowControl w:val="0"/>
              <w:suppressAutoHyphens/>
              <w:ind w:right="86"/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gromadzić informacje o zdarzeniach dotyczących protokołów Web, FTP, IM, VPN, SSL VPN, wykorzystywanych aplikacjach sieciowych, wykrytych: atakach sieciowych, wirusach, zablokowanych aplikacjach sieciowych oraz musi powiązać wszystkie powyższe zdarzenia z nazwami użytkowników.</w:t>
            </w:r>
          </w:p>
          <w:p w:rsidR="006B79BA" w:rsidRPr="006B79BA" w:rsidRDefault="006B79BA" w:rsidP="00017CA1">
            <w:pPr>
              <w:widowControl w:val="0"/>
              <w:suppressAutoHyphens/>
              <w:ind w:right="86"/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zapewniać monitoring ryzyka związanego z działaniem aplikacji sieciowych uruchamianych przez użytkowników np. klasyfikując ryzyko wg. Skali.</w:t>
            </w:r>
          </w:p>
          <w:p w:rsidR="006B79BA" w:rsidRPr="006B79BA" w:rsidRDefault="006B79BA" w:rsidP="00017CA1">
            <w:pPr>
              <w:widowControl w:val="0"/>
              <w:suppressAutoHyphens/>
              <w:ind w:right="86"/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zapewniać przeglądanie archiwalnych logów przy zastosowaniu funkcji filtrujących.</w:t>
            </w:r>
          </w:p>
          <w:p w:rsidR="006B79BA" w:rsidRPr="006B79BA" w:rsidRDefault="006B79BA" w:rsidP="00017CA1">
            <w:pPr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zapewniać eksport zgromadzonych logów do zewnętrznych systemów składowania danych (długoterminowe przechowywanie danych).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umożliwiać wysyłanie raportów via email.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79B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Rozwiązanie </w:t>
            </w:r>
            <w:r w:rsidRPr="006B79BA">
              <w:rPr>
                <w:rFonts w:ascii="Tahoma" w:hAnsi="Tahoma" w:cs="Tahoma"/>
                <w:color w:val="000000"/>
                <w:sz w:val="20"/>
                <w:szCs w:val="20"/>
              </w:rPr>
              <w:t>musi</w:t>
            </w:r>
            <w:r w:rsidRPr="006B79B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Pr="006B79BA">
              <w:rPr>
                <w:rFonts w:ascii="Tahoma" w:hAnsi="Tahoma" w:cs="Tahoma"/>
                <w:color w:val="000000"/>
                <w:sz w:val="20"/>
                <w:szCs w:val="20"/>
              </w:rPr>
              <w:t>generować</w:t>
            </w:r>
            <w:r w:rsidRPr="006B79B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Pr="006B79BA">
              <w:rPr>
                <w:rFonts w:ascii="Tahoma" w:hAnsi="Tahoma" w:cs="Tahoma"/>
                <w:color w:val="000000"/>
                <w:sz w:val="20"/>
                <w:szCs w:val="20"/>
              </w:rPr>
              <w:t>raporty</w:t>
            </w:r>
            <w:r w:rsidRPr="006B79B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Pr="006B79BA">
              <w:rPr>
                <w:rFonts w:ascii="Tahoma" w:hAnsi="Tahoma" w:cs="Tahoma"/>
                <w:color w:val="000000"/>
                <w:sz w:val="20"/>
                <w:szCs w:val="20"/>
              </w:rPr>
              <w:t>w</w:t>
            </w:r>
            <w:r w:rsidRPr="006B79B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Pr="006B79BA">
              <w:rPr>
                <w:rFonts w:ascii="Tahoma" w:hAnsi="Tahoma" w:cs="Tahoma"/>
                <w:color w:val="000000"/>
                <w:sz w:val="20"/>
                <w:szCs w:val="20"/>
              </w:rPr>
              <w:t>PDF, HTML i XLS.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Rozwiązanie musi oferować możliwość wysyłania logów systemowych do co najmniej 3 serwerów syslog.</w:t>
            </w:r>
          </w:p>
          <w:p w:rsidR="006B79BA" w:rsidRPr="006B79BA" w:rsidRDefault="006B79BA" w:rsidP="00017CA1">
            <w:pPr>
              <w:widowControl w:val="0"/>
              <w:suppressAutoHyphens/>
              <w:snapToGrid w:val="0"/>
              <w:ind w:right="86"/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internetowego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ujęciu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dziennym,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tygodniowym,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miesięcznym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rocznym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dla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wszystkich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indywidualnego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</w:p>
          <w:p w:rsidR="006B79BA" w:rsidRPr="006B79BA" w:rsidRDefault="006B79BA" w:rsidP="00017CA1">
            <w:pPr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czasie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rzeczywistym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i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ilości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wysyłanych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danych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oparciu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o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użytkownika/adres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IP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6B79BA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aplikację</w:t>
            </w:r>
          </w:p>
          <w:p w:rsidR="006B79BA" w:rsidRPr="006B79BA" w:rsidRDefault="006B79BA" w:rsidP="00017CA1">
            <w:pPr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Rozwiązanie musi oferować możliwość zanonimizowania danych w raportach.</w:t>
            </w:r>
          </w:p>
          <w:p w:rsidR="006B79BA" w:rsidRPr="006B79BA" w:rsidRDefault="006B79BA" w:rsidP="00017CA1">
            <w:pPr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umożliwiać automatyczne tworzenie raportów według harmonogramów określonych przez administratora.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eastAsia="DejaVu Sans Condensed" w:hAnsi="Tahoma" w:cs="Tahoma"/>
                <w:color w:val="000000"/>
                <w:kern w:val="1"/>
                <w:sz w:val="20"/>
                <w:szCs w:val="20"/>
                <w:lang w:eastAsia="zh-CN" w:bidi="hi-IN"/>
              </w:rPr>
              <w:t>System musi pozwalać ustalić okres retencji danych dla poszczególnych kategorii informacji.</w:t>
            </w:r>
          </w:p>
        </w:tc>
      </w:tr>
      <w:tr w:rsidR="006B79BA" w:rsidRPr="006B79BA" w:rsidTr="00017CA1">
        <w:trPr>
          <w:jc w:val="center"/>
        </w:trPr>
        <w:tc>
          <w:tcPr>
            <w:tcW w:w="9639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POZOSTAŁE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Certyfikaty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CE, FCC Class A, CB, VCCI, ISED, UL, CCC (dołączyć na etapie dostawy)</w:t>
            </w:r>
          </w:p>
        </w:tc>
      </w:tr>
      <w:tr w:rsidR="006B79BA" w:rsidRPr="006B79BA" w:rsidTr="00017CA1">
        <w:trPr>
          <w:jc w:val="center"/>
        </w:trPr>
        <w:tc>
          <w:tcPr>
            <w:tcW w:w="1845" w:type="dxa"/>
          </w:tcPr>
          <w:p w:rsidR="006B79BA" w:rsidRPr="006B79BA" w:rsidRDefault="006B79BA" w:rsidP="00017CA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Rozbudowa</w:t>
            </w:r>
          </w:p>
        </w:tc>
        <w:tc>
          <w:tcPr>
            <w:tcW w:w="779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Możliwość licencyjnej rozbudowy urządzenia o funkcjonalność ochrony przez exploitami i zagrożeniami Zero-Day (Sandbox).</w:t>
            </w:r>
          </w:p>
        </w:tc>
      </w:tr>
    </w:tbl>
    <w:p w:rsidR="006B79BA" w:rsidRPr="006B79BA" w:rsidRDefault="006B79BA" w:rsidP="006B79BA">
      <w:pPr>
        <w:pStyle w:val="Nagwek2"/>
        <w:rPr>
          <w:rFonts w:ascii="Tahoma" w:hAnsi="Tahoma" w:cs="Tahoma"/>
          <w:sz w:val="20"/>
          <w:szCs w:val="20"/>
        </w:rPr>
      </w:pPr>
    </w:p>
    <w:p w:rsidR="006B79BA" w:rsidRPr="006B79BA" w:rsidRDefault="006B79BA" w:rsidP="006B79BA">
      <w:pPr>
        <w:pStyle w:val="Nagwek2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Oprogramowanie Sophos Firewall Manager</w:t>
      </w: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3054"/>
        <w:gridCol w:w="6580"/>
      </w:tblGrid>
      <w:tr w:rsidR="006B79BA" w:rsidRPr="006B79BA" w:rsidTr="00017CA1">
        <w:trPr>
          <w:jc w:val="center"/>
        </w:trPr>
        <w:tc>
          <w:tcPr>
            <w:tcW w:w="9634" w:type="dxa"/>
            <w:gridSpan w:val="2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PODSTAWOWA FUNKCJONALNOŚĆ</w:t>
            </w:r>
          </w:p>
        </w:tc>
      </w:tr>
      <w:tr w:rsidR="006B79BA" w:rsidRPr="006B79BA" w:rsidTr="00017CA1">
        <w:trPr>
          <w:jc w:val="center"/>
        </w:trPr>
        <w:tc>
          <w:tcPr>
            <w:tcW w:w="9634" w:type="dxa"/>
            <w:gridSpan w:val="2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Oprogramowanie zarządzające, które służy do centralnego zarządzania i kontroli urządzeń UTM umieszczonych zarówno w głównej siedzibie, jak i w oddziałach zamawiającego. Pozwala na wdrożenie spójnej polityki bezpieczeństwa w obrębie całej jednostki, przy jednoczesnym ograniczeniu kosztów zarządzania infrastrukturą sprzętową. Należy dostarczyć oprogramowanie działające jako wirtualna maszyna w środowisku Vmware ESXi, pozwalające na zarządzanie min. 15 urządzeniami z usługą serwisowo – </w:t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min. 60-miesięczna gwarancja</w:t>
            </w:r>
            <w:r w:rsidRPr="006B79BA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9BA" w:rsidRPr="006B79BA" w:rsidTr="00017CA1">
        <w:trPr>
          <w:jc w:val="center"/>
        </w:trPr>
        <w:tc>
          <w:tcPr>
            <w:tcW w:w="305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Centralne zarządzanie</w:t>
            </w:r>
          </w:p>
        </w:tc>
        <w:tc>
          <w:tcPr>
            <w:tcW w:w="6580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Zarządzanie wszystkimi regułami zapory i konfiguracja z jednej konsoli.</w:t>
            </w:r>
            <w:r w:rsidRPr="006B79BA">
              <w:rPr>
                <w:rFonts w:ascii="Tahoma" w:hAnsi="Tahoma" w:cs="Tahoma"/>
                <w:sz w:val="20"/>
                <w:szCs w:val="20"/>
              </w:rPr>
              <w:br/>
              <w:t>Zapewnienie jednolitej implementacji zasad w różnych witrynach.</w:t>
            </w:r>
            <w:r w:rsidRPr="006B79BA">
              <w:rPr>
                <w:rFonts w:ascii="Tahoma" w:hAnsi="Tahoma" w:cs="Tahoma"/>
                <w:sz w:val="20"/>
                <w:szCs w:val="20"/>
              </w:rPr>
              <w:br/>
              <w:t>Możliwość tworzenia wielu szablonów konfiguracji.</w:t>
            </w:r>
            <w:r w:rsidRPr="006B79BA">
              <w:rPr>
                <w:rFonts w:ascii="Tahoma" w:hAnsi="Tahoma" w:cs="Tahoma"/>
                <w:sz w:val="20"/>
                <w:szCs w:val="20"/>
              </w:rPr>
              <w:br/>
              <w:t>Centralne zarządzanie aktualizacjami.</w:t>
            </w:r>
          </w:p>
        </w:tc>
      </w:tr>
      <w:tr w:rsidR="006B79BA" w:rsidRPr="006B79BA" w:rsidTr="00017CA1">
        <w:trPr>
          <w:jc w:val="center"/>
        </w:trPr>
        <w:tc>
          <w:tcPr>
            <w:tcW w:w="305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Monitorowanie</w:t>
            </w:r>
          </w:p>
        </w:tc>
        <w:tc>
          <w:tcPr>
            <w:tcW w:w="6580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Wiele opcji widoku z konfigurowalnym progiem ostrzegawczym.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Konfigurowalne powiadomienia alarmowe oparte na progach.</w:t>
            </w:r>
          </w:p>
        </w:tc>
      </w:tr>
      <w:tr w:rsidR="006B79BA" w:rsidRPr="006B79BA" w:rsidTr="00017CA1">
        <w:trPr>
          <w:jc w:val="center"/>
        </w:trPr>
        <w:tc>
          <w:tcPr>
            <w:tcW w:w="305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Rozbudowane kontrole administracyjne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80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Elastyczne grupowanie urządzeń według regionu, modelu.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Administracja oparta na rolach do delegowania.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Kontrola według funkcji zadania.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Integracja z iView w celu synchronizacji użytkowników i urządzeń administracyjnych.</w:t>
            </w:r>
          </w:p>
        </w:tc>
      </w:tr>
    </w:tbl>
    <w:p w:rsidR="006B79BA" w:rsidRPr="006B79BA" w:rsidRDefault="006B79BA" w:rsidP="006B79BA">
      <w:pPr>
        <w:rPr>
          <w:rFonts w:ascii="Tahoma" w:hAnsi="Tahoma" w:cs="Tahoma"/>
          <w:b/>
          <w:sz w:val="20"/>
          <w:szCs w:val="20"/>
        </w:rPr>
      </w:pPr>
    </w:p>
    <w:p w:rsidR="006B79BA" w:rsidRPr="006B79BA" w:rsidRDefault="006B79BA" w:rsidP="006B79BA">
      <w:pPr>
        <w:pStyle w:val="Nagwek2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Instalacja i konfiguracja</w:t>
      </w: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9634"/>
      </w:tblGrid>
      <w:tr w:rsidR="006B79BA" w:rsidRPr="006B79BA" w:rsidTr="00017CA1">
        <w:trPr>
          <w:jc w:val="center"/>
        </w:trPr>
        <w:tc>
          <w:tcPr>
            <w:tcW w:w="9634" w:type="dxa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PODSTAWOWE WYMAGANIA</w:t>
            </w:r>
          </w:p>
        </w:tc>
      </w:tr>
      <w:tr w:rsidR="006B79BA" w:rsidRPr="006B79BA" w:rsidTr="00017CA1">
        <w:trPr>
          <w:jc w:val="center"/>
        </w:trPr>
        <w:tc>
          <w:tcPr>
            <w:tcW w:w="9634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Zamawiający wymaga dostarczenia i montażu urządzeń we wskazanej lokalizacji (węzeł sieciowy przy ul. Dąbrowskiego 69 w Częstochowie).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Wykonawca będzie zobowiązany: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przenieść obecnie używaną konfigurację na nowy komplet urządzeń,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przeprowadzić testy funkcjonalne i wydajnościowe na środowisku testowym,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aktywować wszystkie zakupione licencje,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zaktualizować urządzenia i oprogramowanie do najnowszej wersji,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zainstalować i skonfigurować oprogramowanie zarządzające,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przeprowadzić przełączenie z nowych urządzeń na nowe (</w:t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ze względu na konieczność zachowania dostępności Uczelni z zewnątrz, dopuszczalna przerwa w dostępie do usług nie może być dłuższa niż 5 min!</w:t>
            </w:r>
            <w:r w:rsidRPr="006B79BA">
              <w:rPr>
                <w:rFonts w:ascii="Tahoma" w:hAnsi="Tahoma" w:cs="Tahoma"/>
                <w:sz w:val="20"/>
                <w:szCs w:val="20"/>
              </w:rPr>
              <w:t>) – wymagane oświadczenie wykonawcy załączone do oferty, potwierdzające zdolności techniczne i personalne do przeprowadzenia wymaganego przełączenia w wymaganym reżimie czasowym,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przeprowadzić testy funkcjonalne i wydajnościowe na środowisku produkcyjnym,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przeprowadzić symulację awarii i przełączenia klastra z urządzenia na urządzenie,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przeprowadzić co najmniej 1-godzinne szkolenie stanowiskowe dla 3 administratorów z podstawowej obsługi urządzeń i oprogramowania.</w:t>
            </w:r>
          </w:p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B79BA" w:rsidRPr="006B79BA" w:rsidRDefault="006B79BA" w:rsidP="006B79BA">
      <w:pPr>
        <w:rPr>
          <w:rFonts w:ascii="Tahoma" w:hAnsi="Tahoma" w:cs="Tahoma"/>
          <w:b/>
          <w:sz w:val="20"/>
          <w:szCs w:val="20"/>
        </w:rPr>
      </w:pPr>
    </w:p>
    <w:p w:rsidR="006B79BA" w:rsidRPr="006B79BA" w:rsidRDefault="006B79BA" w:rsidP="006B79BA">
      <w:pPr>
        <w:pStyle w:val="Nagwek3"/>
        <w:keepLines w:val="0"/>
        <w:rPr>
          <w:rFonts w:ascii="Tahoma" w:hAnsi="Tahoma" w:cs="Tahoma"/>
          <w:b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Szczególne warunki gwarancji i serwisu.</w:t>
      </w: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9493"/>
      </w:tblGrid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017CA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B79BA">
              <w:rPr>
                <w:rFonts w:ascii="Tahoma" w:hAnsi="Tahoma" w:cs="Tahoma"/>
                <w:b/>
                <w:sz w:val="20"/>
                <w:szCs w:val="20"/>
              </w:rPr>
              <w:t>Gwarancja i serwis</w:t>
            </w:r>
          </w:p>
        </w:tc>
      </w:tr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Wymagania ogólne dla dostarczanych rozwiązań :</w:t>
            </w:r>
          </w:p>
        </w:tc>
      </w:tr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Dostarczone urządzenia musza być fabrycznie nowe, nieużywane w innych projektach, nie wycofane z produkcji i pochodzić z legalnego, polskiego kanału dystrybucji.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Całość dostarczanego sprzętu i oprogramowania musi pochodzić z autoryzowanego kanału sprzedaży producentów na teren Polski – ze względów gwarancyjnych niedopuszczalne jest dostarczanie sprzętu z tzw. brokerki,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Całość dostarczonego sprzętu musi być objęta gwarancją opartą o świadczenia gwarancyjne producentów w okresie zapisanym w specyfikacjach sprzętu,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Zamawiający wymaga, by dostarczone oprogramowanie było oprogramowaniem w wersji aktualnej na dzień dostawy,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Całość dostarczonego sprzętu i oprogramowanie musi być ze sobą kompatybilna,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lastRenderedPageBreak/>
              <w:t>Wykonawca winien w momencie dostawy przedłożyć dokumenty potwierdzające, że posiada autoryzację producenta w zakresie sprzedaży oferowanych rozwiązań oraz świadczenia usług z nimi związanych.</w:t>
            </w:r>
          </w:p>
        </w:tc>
      </w:tr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lastRenderedPageBreak/>
              <w:t>Warunki gwarancji i serwisu :</w:t>
            </w:r>
          </w:p>
        </w:tc>
      </w:tr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 xml:space="preserve">Na dostarczany sprzęt musi być udzielona </w:t>
            </w:r>
            <w:r w:rsidRPr="006B79BA">
              <w:rPr>
                <w:rFonts w:ascii="Tahoma" w:hAnsi="Tahoma" w:cs="Tahoma"/>
                <w:b/>
                <w:sz w:val="20"/>
                <w:szCs w:val="20"/>
              </w:rPr>
              <w:t>min. 60-miesięczna gwarancja</w:t>
            </w:r>
            <w:r w:rsidRPr="006B79BA">
              <w:rPr>
                <w:rFonts w:ascii="Tahoma" w:hAnsi="Tahoma" w:cs="Tahoma"/>
                <w:sz w:val="20"/>
                <w:szCs w:val="20"/>
              </w:rPr>
              <w:t>; Zamawiający wymaga, by serwis był autoryzowany przez producenta urządzeń, to jest by zapewniona była naprawa lub wymiana urządzeń lub ich części, na części nowe i oryginalne, zgodnie z metodyką i zaleceniami producenta dostarczonych rozwiązań,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Serwis gwarancyjny świadczony ma być w miejscu instalacji sprzętu,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Wykonawca ma obowiązek przyjmowania zgłoszeń serwisowych przez telefon (od poniedziałku do piątku, w godzinach 8-17), fax, e-mail lub WWW (przez całą dobę),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Wykonawca ma udostępnić pojedynczy punkt przyjmowania zgłoszeń dla wszystkich dostarczanych rozwiązań,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 zamawiającego,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Zamawiający otrzyma dostęp do pomocy technicznej Wykonawcy (telefon, e-mail lub WWW) w zakresie rozwiązywania problemów związanych z bieżącą eksploatacją dostarczonych rozwiązań w godzinach 8-17. Gwarantowane min. 30h pomocy technicznej do wykorzystania w trakcie trwania gwarancji.</w:t>
            </w:r>
          </w:p>
        </w:tc>
      </w:tr>
      <w:tr w:rsidR="006B79BA" w:rsidRPr="006B79BA" w:rsidTr="00017CA1">
        <w:trPr>
          <w:jc w:val="center"/>
        </w:trPr>
        <w:tc>
          <w:tcPr>
            <w:tcW w:w="9493" w:type="dxa"/>
          </w:tcPr>
          <w:p w:rsidR="006B79BA" w:rsidRPr="006B79BA" w:rsidRDefault="006B79BA" w:rsidP="00017CA1">
            <w:pPr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Zamawiający uzyska dostęp do stron internetowych producentów rozwiązań, umożliwiający: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bezpłatne pobieranie najnowszego oprogramowania aktualizującego system do najnowszej wersji przez okres trwania gwarancji,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dostęp do dokumentacji sprzętu i oprogramowania,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dostęp do narzędzi konfiguracyjnych i dokumentacji technicznej,</w:t>
            </w:r>
          </w:p>
          <w:p w:rsidR="006B79BA" w:rsidRPr="006B79BA" w:rsidRDefault="006B79BA" w:rsidP="006B79B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54"/>
              <w:rPr>
                <w:rFonts w:ascii="Tahoma" w:hAnsi="Tahoma" w:cs="Tahoma"/>
                <w:sz w:val="20"/>
                <w:szCs w:val="20"/>
              </w:rPr>
            </w:pPr>
            <w:r w:rsidRPr="006B79BA">
              <w:rPr>
                <w:rFonts w:ascii="Tahoma" w:hAnsi="Tahoma" w:cs="Tahoma"/>
                <w:sz w:val="20"/>
                <w:szCs w:val="20"/>
              </w:rPr>
              <w:t>dostęp do pomocy technicznej producenta.</w:t>
            </w:r>
          </w:p>
        </w:tc>
      </w:tr>
    </w:tbl>
    <w:p w:rsidR="006B79BA" w:rsidRPr="006B79BA" w:rsidRDefault="006B79BA" w:rsidP="006B79BA">
      <w:pPr>
        <w:rPr>
          <w:rFonts w:ascii="Tahoma" w:hAnsi="Tahoma" w:cs="Tahoma"/>
          <w:sz w:val="20"/>
          <w:szCs w:val="20"/>
        </w:rPr>
      </w:pPr>
    </w:p>
    <w:p w:rsidR="006B79BA" w:rsidRPr="006B79BA" w:rsidRDefault="006B79BA">
      <w:pPr>
        <w:pStyle w:val="Standard"/>
        <w:jc w:val="both"/>
        <w:rPr>
          <w:rFonts w:ascii="Tahoma" w:eastAsia="Times New Roman" w:hAnsi="Tahoma" w:cs="Tahoma"/>
          <w:sz w:val="20"/>
          <w:szCs w:val="20"/>
        </w:rPr>
      </w:pPr>
    </w:p>
    <w:p w:rsidR="006B79BA" w:rsidRDefault="006B79BA">
      <w:pPr>
        <w:pStyle w:val="Standard"/>
        <w:jc w:val="both"/>
        <w:rPr>
          <w:rFonts w:ascii="Tahoma" w:eastAsia="Times New Roman" w:hAnsi="Tahoma" w:cs="Tahoma"/>
          <w:sz w:val="20"/>
          <w:szCs w:val="20"/>
        </w:rPr>
      </w:pPr>
    </w:p>
    <w:p w:rsidR="006B79BA" w:rsidRPr="006B79BA" w:rsidRDefault="006B79BA" w:rsidP="006B79BA">
      <w:pPr>
        <w:pStyle w:val="Nagwek1"/>
        <w:rPr>
          <w:rFonts w:ascii="Tahoma" w:hAnsi="Tahoma" w:cs="Tahoma"/>
          <w:b/>
          <w:sz w:val="20"/>
          <w:szCs w:val="20"/>
        </w:rPr>
      </w:pPr>
    </w:p>
    <w:p w:rsidR="006B79BA" w:rsidRPr="006B79BA" w:rsidRDefault="006B79BA" w:rsidP="006B79BA">
      <w:pPr>
        <w:pStyle w:val="Nagwek1"/>
        <w:rPr>
          <w:rFonts w:ascii="Tahoma" w:hAnsi="Tahoma" w:cs="Tahoma"/>
          <w:b/>
          <w:sz w:val="20"/>
          <w:szCs w:val="20"/>
        </w:rPr>
      </w:pPr>
      <w:r w:rsidRPr="006B79BA">
        <w:rPr>
          <w:rFonts w:ascii="Tahoma" w:hAnsi="Tahoma" w:cs="Tahoma"/>
          <w:b/>
          <w:sz w:val="20"/>
          <w:szCs w:val="20"/>
        </w:rPr>
        <w:t xml:space="preserve">Zadanie 2. </w:t>
      </w:r>
    </w:p>
    <w:p w:rsidR="006B79BA" w:rsidRDefault="006B79BA" w:rsidP="006B79BA">
      <w:pPr>
        <w:pStyle w:val="Nagwek1"/>
        <w:rPr>
          <w:rFonts w:ascii="Tahoma" w:hAnsi="Tahoma" w:cs="Tahoma"/>
          <w:b/>
          <w:sz w:val="20"/>
          <w:szCs w:val="20"/>
        </w:rPr>
      </w:pPr>
      <w:r w:rsidRPr="006B79BA">
        <w:rPr>
          <w:rFonts w:ascii="Tahoma" w:hAnsi="Tahoma" w:cs="Tahoma"/>
          <w:b/>
          <w:sz w:val="20"/>
          <w:szCs w:val="20"/>
        </w:rPr>
        <w:t>Dostawa ROUTERÓW ( 3 SZT.) dla węzłów wydziałowych..</w:t>
      </w:r>
    </w:p>
    <w:p w:rsidR="006B79BA" w:rsidRPr="006B79BA" w:rsidRDefault="006B79BA" w:rsidP="006B79BA">
      <w:pPr>
        <w:rPr>
          <w:lang w:eastAsia="en-US" w:bidi="ar-SA"/>
        </w:rPr>
      </w:pPr>
    </w:p>
    <w:p w:rsidR="000D4948" w:rsidRPr="006B79BA" w:rsidRDefault="003C3498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 xml:space="preserve">Router </w:t>
      </w:r>
      <w:r w:rsidR="005453EE" w:rsidRPr="006B79BA">
        <w:rPr>
          <w:rFonts w:ascii="Tahoma" w:eastAsia="Times New Roman" w:hAnsi="Tahoma" w:cs="Tahoma"/>
          <w:sz w:val="20"/>
          <w:szCs w:val="20"/>
        </w:rPr>
        <w:t>ma</w:t>
      </w:r>
      <w:r w:rsidRPr="006B79BA">
        <w:rPr>
          <w:rFonts w:ascii="Tahoma" w:eastAsia="Times New Roman" w:hAnsi="Tahoma" w:cs="Tahoma"/>
          <w:sz w:val="20"/>
          <w:szCs w:val="20"/>
        </w:rPr>
        <w:t xml:space="preserve"> posiadać co najmniej 8 portów LAN Gigabit Ethernet, 1 port SFP oraz 1 port SFP+, dopuszcza się  w tym, jeden port Combo (SFP zamiennie z portem Ethernet). Każdy z portów jest podłączony bezpośrednio pod wyprowadzenia procesora.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Procesor :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wielordzeniowy, technologia cloud core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Pamięć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RAM: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minimum  2GB DDR3 800 MHz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Pamięć dyskowa:</w:t>
      </w:r>
      <w:r w:rsidRPr="006B79BA">
        <w:rPr>
          <w:rFonts w:ascii="Tahoma" w:eastAsia="Times New Roman" w:hAnsi="Tahoma" w:cs="Tahoma"/>
          <w:sz w:val="20"/>
          <w:szCs w:val="20"/>
        </w:rPr>
        <w:tab/>
        <w:t>minimum 128 MB (wbudowana)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Porty: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8x 10/100/1000 Mbit/s Ethernet z Auto-MDI/X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1x port SFP (combo)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1x port SFP+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Wydajność: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>przepustowość minimum 18 Gb/s.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Rozszerzenia: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  <w:t>1x microUSB,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1x slot SmartCard,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1x slot MicroSD,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1x RS232C asynchroniczny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 xml:space="preserve"> 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lastRenderedPageBreak/>
        <w:t>Inne: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  <w:t>przycisk RESET,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wyświetlacz LCD,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monitor prędkości wentylatora,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beeper,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monitor napięcia, prądu i temperatury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Zasilanie: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  <w:t>dwa zasilacze redundantne, wewnętrzne, 2x kabel zasilający 110-220VAC,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zasilanie PoE 12-58V, 802.3af/at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maksymalny pobór mocy 35 W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 xml:space="preserve">Obudowa :                 </w:t>
      </w:r>
      <w:r w:rsidR="005F40AF" w:rsidRPr="006B79BA">
        <w:rPr>
          <w:rFonts w:ascii="Tahoma" w:eastAsia="Times New Roman" w:hAnsi="Tahoma" w:cs="Tahoma"/>
          <w:sz w:val="20"/>
          <w:szCs w:val="20"/>
        </w:rPr>
        <w:t>metalowa</w:t>
      </w:r>
      <w:r w:rsidRPr="006B79BA">
        <w:rPr>
          <w:rFonts w:ascii="Tahoma" w:eastAsia="Times New Roman" w:hAnsi="Tahoma" w:cs="Tahoma"/>
          <w:sz w:val="20"/>
          <w:szCs w:val="20"/>
        </w:rPr>
        <w:t>, rack 19" 1U z wyświetlaczem LCD,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Wyposażenie: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2x kable zasilające, kabel USB, uszy rakowe.</w:t>
      </w:r>
    </w:p>
    <w:p w:rsidR="000D4948" w:rsidRPr="006B79BA" w:rsidRDefault="000D4948">
      <w:pPr>
        <w:pStyle w:val="Standard"/>
        <w:rPr>
          <w:rFonts w:ascii="Tahoma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 xml:space="preserve">System operacyjny: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System operacyjny routera powinien posiadać następujące funkcjonalności </w:t>
      </w:r>
      <w:r w:rsidRPr="006B79BA">
        <w:rPr>
          <w:rFonts w:ascii="Tahoma" w:eastAsia="Times New Roman" w:hAnsi="Tahoma" w:cs="Tahoma"/>
          <w:sz w:val="20"/>
          <w:szCs w:val="20"/>
        </w:rPr>
        <w:br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w licencji nieograniczonej czasowo: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protokoły routingu 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IPv4 : RIP, OSPF, BGP 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>IPv6 : RIPng, OSPFv3 and BGP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ab/>
      </w:r>
      <w:r w:rsidRPr="006B79BA">
        <w:rPr>
          <w:rFonts w:ascii="Tahoma" w:hAnsi="Tahoma" w:cs="Tahoma"/>
          <w:sz w:val="20"/>
          <w:szCs w:val="20"/>
        </w:rPr>
        <w:tab/>
        <w:t>obsługa MPLS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tunele EoIP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tunele PPPoE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tunele PPTP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tunele L2TP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tunele OVPN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tunele VLAN</w:t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aktywni użytkownicy HotSpot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klienci RADIUS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Kolejki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bookmarkStart w:id="0" w:name="_GoBack"/>
      <w:bookmarkEnd w:id="0"/>
      <w:r w:rsidRPr="006B79BA">
        <w:rPr>
          <w:rFonts w:ascii="Tahoma" w:eastAsia="Times New Roman" w:hAnsi="Tahoma" w:cs="Tahoma"/>
          <w:sz w:val="20"/>
          <w:szCs w:val="20"/>
        </w:rPr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Web proxy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Aktywne sesje Menadżera użytkowników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 xml:space="preserve">Liczba  maszyn KVM </w:t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nielimitowana ilość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Oprogramowanie GUI  do dostępu poprzez protokoły IP i MAC</w:t>
      </w:r>
      <w:r w:rsidRPr="006B79BA">
        <w:rPr>
          <w:rFonts w:ascii="Tahoma" w:eastAsia="Times New Roman" w:hAnsi="Tahoma" w:cs="Tahoma"/>
          <w:sz w:val="20"/>
          <w:szCs w:val="20"/>
        </w:rPr>
        <w:tab/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CLI z konsolą Telnet, SSH, konsola lokalna i konsola  Serial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API do programowania własnych narzędzi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Interfejs Web</w:t>
      </w: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</w:r>
      <w:r w:rsidRPr="006B79BA">
        <w:rPr>
          <w:rFonts w:ascii="Tahoma" w:eastAsia="Times New Roman" w:hAnsi="Tahoma" w:cs="Tahoma"/>
          <w:sz w:val="20"/>
          <w:szCs w:val="20"/>
        </w:rPr>
        <w:tab/>
        <w:t>Obsługa języka skryptowego Lua</w:t>
      </w:r>
    </w:p>
    <w:p w:rsidR="000D4948" w:rsidRPr="006B79BA" w:rsidRDefault="000D4948">
      <w:pPr>
        <w:pStyle w:val="Standard"/>
        <w:rPr>
          <w:rFonts w:ascii="Tahoma" w:eastAsia="Times New Roman" w:hAnsi="Tahoma" w:cs="Tahoma"/>
          <w:sz w:val="20"/>
          <w:szCs w:val="20"/>
        </w:rPr>
      </w:pPr>
    </w:p>
    <w:p w:rsidR="000D4948" w:rsidRPr="006B79BA" w:rsidRDefault="005F40AF">
      <w:pPr>
        <w:pStyle w:val="Standard"/>
        <w:rPr>
          <w:rFonts w:ascii="Tahoma" w:eastAsia="Times New Roman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Z</w:t>
      </w:r>
      <w:r w:rsidR="003C3498" w:rsidRPr="006B79BA">
        <w:rPr>
          <w:rFonts w:ascii="Tahoma" w:eastAsia="Times New Roman" w:hAnsi="Tahoma" w:cs="Tahoma"/>
          <w:sz w:val="20"/>
          <w:szCs w:val="20"/>
        </w:rPr>
        <w:t xml:space="preserve">e względu na zachowanie </w:t>
      </w:r>
      <w:r w:rsidRPr="006B79BA">
        <w:rPr>
          <w:rFonts w:ascii="Tahoma" w:eastAsia="Times New Roman" w:hAnsi="Tahoma" w:cs="Tahoma"/>
          <w:sz w:val="20"/>
          <w:szCs w:val="20"/>
        </w:rPr>
        <w:t xml:space="preserve">współpracy </w:t>
      </w:r>
      <w:r w:rsidR="003C3498" w:rsidRPr="006B79BA">
        <w:rPr>
          <w:rFonts w:ascii="Tahoma" w:eastAsia="Times New Roman" w:hAnsi="Tahoma" w:cs="Tahoma"/>
          <w:sz w:val="20"/>
          <w:szCs w:val="20"/>
        </w:rPr>
        <w:t>i jednorodności istni</w:t>
      </w:r>
      <w:r w:rsidRPr="006B79BA">
        <w:rPr>
          <w:rFonts w:ascii="Tahoma" w:eastAsia="Times New Roman" w:hAnsi="Tahoma" w:cs="Tahoma"/>
          <w:sz w:val="20"/>
          <w:szCs w:val="20"/>
        </w:rPr>
        <w:t>ejącej infrastruktury sieciowej, wymagane jest dostarczenie routera umożliwiającego współpracę z systemem MikroTik RouterOS v6 (64bit) z licencją Level 6.</w:t>
      </w:r>
    </w:p>
    <w:p w:rsidR="000D4948" w:rsidRPr="006B79BA" w:rsidRDefault="000D4948">
      <w:pPr>
        <w:pStyle w:val="Standard"/>
        <w:rPr>
          <w:rFonts w:ascii="Tahoma" w:hAnsi="Tahoma" w:cs="Tahoma"/>
          <w:color w:val="ED1C24"/>
          <w:sz w:val="20"/>
          <w:szCs w:val="20"/>
        </w:rPr>
      </w:pPr>
    </w:p>
    <w:p w:rsidR="000D4948" w:rsidRPr="006B79BA" w:rsidRDefault="003C3498">
      <w:pPr>
        <w:pStyle w:val="Standard"/>
        <w:rPr>
          <w:rFonts w:ascii="Tahoma" w:hAnsi="Tahoma" w:cs="Tahoma"/>
          <w:sz w:val="20"/>
          <w:szCs w:val="20"/>
        </w:rPr>
      </w:pPr>
      <w:r w:rsidRPr="006B79BA">
        <w:rPr>
          <w:rFonts w:ascii="Tahoma" w:eastAsia="Times New Roman" w:hAnsi="Tahoma" w:cs="Tahoma"/>
          <w:sz w:val="20"/>
          <w:szCs w:val="20"/>
        </w:rPr>
        <w:t>Gwarancja door-to-door</w:t>
      </w:r>
      <w:r w:rsidR="005F40AF" w:rsidRPr="006B79BA">
        <w:rPr>
          <w:rFonts w:ascii="Tahoma" w:eastAsia="Times New Roman" w:hAnsi="Tahoma" w:cs="Tahoma"/>
          <w:sz w:val="20"/>
          <w:szCs w:val="20"/>
        </w:rPr>
        <w:t>:</w:t>
      </w:r>
      <w:r w:rsidRPr="006B79BA">
        <w:rPr>
          <w:rFonts w:ascii="Tahoma" w:eastAsia="Times New Roman" w:hAnsi="Tahoma" w:cs="Tahoma"/>
          <w:sz w:val="20"/>
          <w:szCs w:val="20"/>
        </w:rPr>
        <w:t xml:space="preserve"> 24 miesiące</w:t>
      </w:r>
    </w:p>
    <w:sectPr w:rsidR="000D4948" w:rsidRPr="006B79B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56F" w:rsidRDefault="00F8656F">
      <w:r>
        <w:separator/>
      </w:r>
    </w:p>
  </w:endnote>
  <w:endnote w:type="continuationSeparator" w:id="0">
    <w:p w:rsidR="00F8656F" w:rsidRDefault="00F8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 Condensed"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56F" w:rsidRDefault="00F8656F">
      <w:r>
        <w:rPr>
          <w:color w:val="000000"/>
        </w:rPr>
        <w:separator/>
      </w:r>
    </w:p>
  </w:footnote>
  <w:footnote w:type="continuationSeparator" w:id="0">
    <w:p w:rsidR="00F8656F" w:rsidRDefault="00F86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A11D3"/>
    <w:multiLevelType w:val="hybridMultilevel"/>
    <w:tmpl w:val="5A4C7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021AE"/>
    <w:multiLevelType w:val="hybridMultilevel"/>
    <w:tmpl w:val="9C34D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71BA4"/>
    <w:multiLevelType w:val="hybridMultilevel"/>
    <w:tmpl w:val="12884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E00460"/>
    <w:multiLevelType w:val="hybridMultilevel"/>
    <w:tmpl w:val="1E60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E3FC3"/>
    <w:multiLevelType w:val="hybridMultilevel"/>
    <w:tmpl w:val="A66A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48"/>
    <w:rsid w:val="000D4948"/>
    <w:rsid w:val="003C3498"/>
    <w:rsid w:val="005453EE"/>
    <w:rsid w:val="005F40AF"/>
    <w:rsid w:val="006B79BA"/>
    <w:rsid w:val="00F8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C42C8"/>
  <w15:docId w15:val="{6A475C2A-5666-4868-9959-4D71217EA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79BA"/>
    <w:pPr>
      <w:keepNext/>
      <w:keepLines/>
      <w:suppressAutoHyphens w:val="0"/>
      <w:autoSpaceDN/>
      <w:spacing w:before="240" w:line="259" w:lineRule="auto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  <w:bCs/>
    </w:rPr>
  </w:style>
  <w:style w:type="paragraph" w:customStyle="1" w:styleId="Zawartotabeli">
    <w:name w:val="Zawarto?? tabeli"/>
    <w:basedOn w:val="Standard"/>
    <w:pPr>
      <w:suppressLineNumbers/>
    </w:pPr>
  </w:style>
  <w:style w:type="paragraph" w:customStyle="1" w:styleId="WW-Nagwek1">
    <w:name w:val="WW-Nag?ówek1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WW-Nagwek">
    <w:name w:val="WW-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Nagwek">
    <w:name w:val="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Nagwek1Znak">
    <w:name w:val="Nagłówek 1 Znak"/>
    <w:basedOn w:val="Domylnaczcionkaakapitu"/>
    <w:link w:val="Nagwek1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rsid w:val="006B79BA"/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table" w:styleId="Tabela-Siatka">
    <w:name w:val="Table Grid"/>
    <w:basedOn w:val="Standardowy"/>
    <w:uiPriority w:val="39"/>
    <w:rsid w:val="006B79BA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B79BA"/>
    <w:pPr>
      <w:suppressAutoHyphens w:val="0"/>
      <w:autoSpaceDN/>
      <w:textAlignment w:val="auto"/>
    </w:pPr>
    <w:rPr>
      <w:rFonts w:asciiTheme="minorHAnsi" w:eastAsia="Times New Roman" w:hAnsiTheme="minorHAnsi" w:cs="Times New Roman"/>
      <w:kern w:val="0"/>
      <w:sz w:val="22"/>
      <w:szCs w:val="22"/>
      <w:lang w:eastAsia="en-US" w:bidi="ar-SA"/>
    </w:rPr>
  </w:style>
  <w:style w:type="paragraph" w:styleId="Tytu">
    <w:name w:val="Title"/>
    <w:basedOn w:val="Normalny"/>
    <w:next w:val="Normalny"/>
    <w:link w:val="TytuZnak"/>
    <w:uiPriority w:val="10"/>
    <w:qFormat/>
    <w:rsid w:val="006B79BA"/>
    <w:pPr>
      <w:pBdr>
        <w:bottom w:val="single" w:sz="8" w:space="4" w:color="5B9BD5" w:themeColor="accent1"/>
      </w:pBdr>
      <w:suppressAutoHyphens w:val="0"/>
      <w:autoSpaceDN/>
      <w:spacing w:after="300"/>
      <w:contextualSpacing/>
      <w:textAlignment w:val="auto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6B79B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paragraph" w:styleId="Akapitzlist">
    <w:name w:val="List Paragraph"/>
    <w:basedOn w:val="Normalny"/>
    <w:uiPriority w:val="34"/>
    <w:qFormat/>
    <w:rsid w:val="006B79BA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4663</Words>
  <Characters>27983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Kupczak</dc:creator>
  <cp:lastModifiedBy>Joanna Podsiadlik</cp:lastModifiedBy>
  <cp:revision>2</cp:revision>
  <dcterms:created xsi:type="dcterms:W3CDTF">2019-07-19T12:39:00Z</dcterms:created>
  <dcterms:modified xsi:type="dcterms:W3CDTF">2019-07-19T12:39:00Z</dcterms:modified>
</cp:coreProperties>
</file>