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21" w:rsidRPr="00502642" w:rsidRDefault="00EA2DED">
      <w:pPr>
        <w:rPr>
          <w:b/>
          <w:bCs/>
          <w:sz w:val="18"/>
          <w:szCs w:val="18"/>
        </w:rPr>
      </w:pPr>
      <w:r w:rsidRPr="00502642">
        <w:rPr>
          <w:b/>
          <w:bCs/>
          <w:sz w:val="18"/>
          <w:szCs w:val="18"/>
        </w:rPr>
        <w:t>Sekcja Zamówień Publicznych</w:t>
      </w:r>
    </w:p>
    <w:p w:rsidR="00571121" w:rsidRPr="00502642" w:rsidRDefault="00EA2DED">
      <w:pPr>
        <w:rPr>
          <w:b/>
          <w:bCs/>
          <w:sz w:val="18"/>
          <w:szCs w:val="18"/>
        </w:rPr>
      </w:pPr>
      <w:r w:rsidRPr="00502642">
        <w:rPr>
          <w:b/>
          <w:bCs/>
          <w:sz w:val="18"/>
          <w:szCs w:val="18"/>
        </w:rPr>
        <w:t>oś. Na Skarpie</w:t>
      </w:r>
      <w:r w:rsidR="00571121" w:rsidRPr="00502642">
        <w:rPr>
          <w:b/>
          <w:bCs/>
          <w:sz w:val="18"/>
          <w:szCs w:val="18"/>
        </w:rPr>
        <w:t xml:space="preserve"> </w:t>
      </w:r>
      <w:r w:rsidRPr="00502642">
        <w:rPr>
          <w:b/>
          <w:bCs/>
          <w:sz w:val="18"/>
          <w:szCs w:val="18"/>
        </w:rPr>
        <w:t>66</w:t>
      </w:r>
    </w:p>
    <w:p w:rsidR="00571121" w:rsidRPr="00D56F78" w:rsidRDefault="00EA2DED" w:rsidP="00D56F78">
      <w:pPr>
        <w:rPr>
          <w:b/>
          <w:bCs/>
          <w:sz w:val="18"/>
          <w:szCs w:val="18"/>
        </w:rPr>
      </w:pPr>
      <w:r w:rsidRPr="00502642">
        <w:rPr>
          <w:b/>
          <w:bCs/>
          <w:sz w:val="18"/>
          <w:szCs w:val="18"/>
        </w:rPr>
        <w:t>31-913</w:t>
      </w:r>
      <w:r w:rsidR="00571121" w:rsidRPr="00502642">
        <w:rPr>
          <w:b/>
          <w:bCs/>
          <w:sz w:val="18"/>
          <w:szCs w:val="18"/>
        </w:rPr>
        <w:t xml:space="preserve"> </w:t>
      </w:r>
      <w:r w:rsidRPr="00502642">
        <w:rPr>
          <w:b/>
          <w:bCs/>
          <w:sz w:val="18"/>
          <w:szCs w:val="18"/>
        </w:rPr>
        <w:t>Kraków</w:t>
      </w:r>
    </w:p>
    <w:p w:rsidR="00571121" w:rsidRPr="00502642" w:rsidRDefault="00571121">
      <w:pPr>
        <w:pStyle w:val="Nagwek"/>
        <w:tabs>
          <w:tab w:val="clear" w:pos="4536"/>
          <w:tab w:val="left" w:pos="3686"/>
          <w:tab w:val="left" w:pos="7371"/>
        </w:tabs>
        <w:rPr>
          <w:sz w:val="18"/>
          <w:szCs w:val="18"/>
        </w:rPr>
      </w:pPr>
    </w:p>
    <w:p w:rsidR="00571121" w:rsidRPr="00502642" w:rsidRDefault="00571121">
      <w:pPr>
        <w:pStyle w:val="Nagwek"/>
        <w:tabs>
          <w:tab w:val="clear" w:pos="4536"/>
        </w:tabs>
        <w:rPr>
          <w:sz w:val="18"/>
          <w:szCs w:val="18"/>
        </w:rPr>
      </w:pPr>
      <w:r w:rsidRPr="00502642">
        <w:rPr>
          <w:b/>
          <w:bCs/>
          <w:sz w:val="18"/>
          <w:szCs w:val="18"/>
        </w:rPr>
        <w:t xml:space="preserve">Pismo: </w:t>
      </w:r>
      <w:r w:rsidR="00EA2DED" w:rsidRPr="00502642">
        <w:rPr>
          <w:b/>
          <w:bCs/>
          <w:sz w:val="18"/>
          <w:szCs w:val="18"/>
        </w:rPr>
        <w:t>ZP/2/2019/7</w:t>
      </w:r>
      <w:r w:rsidRPr="00502642">
        <w:rPr>
          <w:sz w:val="18"/>
          <w:szCs w:val="18"/>
        </w:rPr>
        <w:tab/>
        <w:t xml:space="preserve"> </w:t>
      </w:r>
      <w:r w:rsidR="00EA2DED" w:rsidRPr="00502642">
        <w:rPr>
          <w:sz w:val="18"/>
          <w:szCs w:val="18"/>
        </w:rPr>
        <w:t>Kraków</w:t>
      </w:r>
      <w:r w:rsidRPr="00502642">
        <w:rPr>
          <w:sz w:val="18"/>
          <w:szCs w:val="18"/>
        </w:rPr>
        <w:t xml:space="preserve"> dnia: </w:t>
      </w:r>
      <w:r w:rsidR="00EA2DED" w:rsidRPr="00502642">
        <w:rPr>
          <w:sz w:val="18"/>
          <w:szCs w:val="18"/>
        </w:rPr>
        <w:t>2019-05-16</w:t>
      </w:r>
    </w:p>
    <w:p w:rsidR="00571121" w:rsidRPr="00502642" w:rsidRDefault="00571121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571121" w:rsidRPr="00D56F78" w:rsidRDefault="00D56F78" w:rsidP="00D56F78">
      <w:pPr>
        <w:ind w:left="3538" w:firstLine="709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br/>
      </w:r>
    </w:p>
    <w:p w:rsidR="008B57E5" w:rsidRPr="00136E01" w:rsidRDefault="008B57E5" w:rsidP="008B57E5">
      <w:pPr>
        <w:jc w:val="both"/>
        <w:rPr>
          <w:sz w:val="20"/>
          <w:szCs w:val="20"/>
        </w:rPr>
      </w:pPr>
      <w:r w:rsidRPr="00EB2767">
        <w:rPr>
          <w:bCs/>
          <w:sz w:val="20"/>
          <w:szCs w:val="20"/>
        </w:rPr>
        <w:t>Na podstawie art. 186 ust. 1</w:t>
      </w:r>
      <w:r>
        <w:rPr>
          <w:bCs/>
          <w:sz w:val="20"/>
          <w:szCs w:val="20"/>
        </w:rPr>
        <w:t xml:space="preserve"> oraz ust. 2</w:t>
      </w:r>
      <w:r w:rsidRPr="00EB2767">
        <w:rPr>
          <w:bCs/>
          <w:sz w:val="20"/>
          <w:szCs w:val="20"/>
        </w:rPr>
        <w:t xml:space="preserve">, ustawy z dnia </w:t>
      </w:r>
      <w:r w:rsidRPr="00EB2767">
        <w:rPr>
          <w:sz w:val="20"/>
          <w:szCs w:val="20"/>
        </w:rPr>
        <w:t>29 stycznia 2004 roku Prawo zamówień publicznych (</w:t>
      </w:r>
      <w:proofErr w:type="spellStart"/>
      <w:r w:rsidRPr="00EB2767">
        <w:rPr>
          <w:sz w:val="20"/>
          <w:szCs w:val="20"/>
        </w:rPr>
        <w:t>t.j</w:t>
      </w:r>
      <w:proofErr w:type="spellEnd"/>
      <w:r w:rsidRPr="00EB2767">
        <w:rPr>
          <w:sz w:val="20"/>
          <w:szCs w:val="20"/>
        </w:rPr>
        <w:t xml:space="preserve">. Dz. U. z  2018 r. poz. 1986) </w:t>
      </w:r>
      <w:r>
        <w:rPr>
          <w:sz w:val="20"/>
          <w:szCs w:val="20"/>
        </w:rPr>
        <w:t xml:space="preserve"> Zamawiający wnosi</w:t>
      </w:r>
      <w:r w:rsidRPr="00EB2767">
        <w:rPr>
          <w:sz w:val="20"/>
          <w:szCs w:val="20"/>
        </w:rPr>
        <w:t xml:space="preserve"> odpowiedź na odwołanie Wykonawcy </w:t>
      </w:r>
      <w:proofErr w:type="spellStart"/>
      <w:r w:rsidR="000A35CF" w:rsidRPr="000A35CF">
        <w:rPr>
          <w:sz w:val="20"/>
          <w:szCs w:val="20"/>
        </w:rPr>
        <w:t>Medlab</w:t>
      </w:r>
      <w:proofErr w:type="spellEnd"/>
      <w:r w:rsidR="000A35CF" w:rsidRPr="000A35CF">
        <w:rPr>
          <w:sz w:val="20"/>
          <w:szCs w:val="20"/>
        </w:rPr>
        <w:t xml:space="preserve"> Products Sp. z o. o</w:t>
      </w:r>
      <w:r w:rsidR="000A35CF">
        <w:rPr>
          <w:sz w:val="20"/>
          <w:szCs w:val="20"/>
        </w:rPr>
        <w:t xml:space="preserve">. </w:t>
      </w:r>
      <w:r w:rsidRPr="00EB2767">
        <w:rPr>
          <w:sz w:val="20"/>
          <w:szCs w:val="20"/>
        </w:rPr>
        <w:t>wniesione dnia 2019-05-</w:t>
      </w:r>
      <w:r w:rsidR="000A35CF">
        <w:rPr>
          <w:sz w:val="20"/>
          <w:szCs w:val="20"/>
        </w:rPr>
        <w:t>10</w:t>
      </w:r>
      <w:r w:rsidRPr="00EB2767">
        <w:rPr>
          <w:sz w:val="20"/>
          <w:szCs w:val="20"/>
        </w:rPr>
        <w:t xml:space="preserve"> znak </w:t>
      </w:r>
      <w:r>
        <w:rPr>
          <w:b/>
          <w:sz w:val="20"/>
          <w:szCs w:val="20"/>
        </w:rPr>
        <w:t>KIO 863</w:t>
      </w:r>
      <w:r w:rsidRPr="00136E01">
        <w:rPr>
          <w:b/>
          <w:sz w:val="20"/>
          <w:szCs w:val="20"/>
        </w:rPr>
        <w:t>/19</w:t>
      </w:r>
      <w:r w:rsidRPr="00EB2767">
        <w:rPr>
          <w:sz w:val="20"/>
          <w:szCs w:val="20"/>
        </w:rPr>
        <w:t xml:space="preserve"> dotyczące postępowania o udzielenie zamówienia publicznego prowadzonego w trybie </w:t>
      </w:r>
      <w:r w:rsidR="000A35CF">
        <w:rPr>
          <w:sz w:val="20"/>
          <w:szCs w:val="20"/>
        </w:rPr>
        <w:t>przetarg nieograniczony na:</w:t>
      </w:r>
    </w:p>
    <w:p w:rsidR="003A0205" w:rsidRPr="00502642" w:rsidRDefault="00B07AEE" w:rsidP="00B07AEE">
      <w:pPr>
        <w:rPr>
          <w:sz w:val="18"/>
          <w:szCs w:val="18"/>
        </w:rPr>
      </w:pPr>
      <w:r w:rsidRPr="00502642">
        <w:rPr>
          <w:b/>
          <w:sz w:val="18"/>
          <w:szCs w:val="18"/>
        </w:rPr>
        <w:br/>
      </w:r>
      <w:r w:rsidR="00EA2DED" w:rsidRPr="00502642">
        <w:rPr>
          <w:b/>
          <w:sz w:val="18"/>
          <w:szCs w:val="18"/>
        </w:rPr>
        <w:t>Dostawa niesterylnego sprzętu jednorazowego i wielorazowego użytku</w:t>
      </w:r>
      <w:r w:rsidR="003A0205" w:rsidRPr="00502642">
        <w:rPr>
          <w:sz w:val="18"/>
          <w:szCs w:val="18"/>
        </w:rPr>
        <w:t xml:space="preserve">.  </w:t>
      </w:r>
      <w:r w:rsidRPr="00502642">
        <w:rPr>
          <w:sz w:val="18"/>
          <w:szCs w:val="18"/>
        </w:rPr>
        <w:br/>
      </w:r>
    </w:p>
    <w:p w:rsidR="003A0205" w:rsidRPr="00502642" w:rsidRDefault="00B07AEE" w:rsidP="00B07AEE">
      <w:pPr>
        <w:rPr>
          <w:sz w:val="18"/>
          <w:szCs w:val="18"/>
        </w:rPr>
      </w:pPr>
      <w:r w:rsidRPr="00502642">
        <w:rPr>
          <w:b/>
          <w:sz w:val="18"/>
          <w:szCs w:val="18"/>
        </w:rPr>
        <w:t>Zamawiający uznaje w całości zarzuty zawarte w odwołaniu wniesionym przez Wykonawcę i wnosi o umorzenie postępowania oraz dokona zmian zapisów w opisie przedmiotu zamówienia w następujący sposób:</w:t>
      </w:r>
      <w:r w:rsidRPr="00502642">
        <w:rPr>
          <w:b/>
          <w:sz w:val="18"/>
          <w:szCs w:val="18"/>
        </w:rPr>
        <w:br/>
      </w:r>
    </w:p>
    <w:p w:rsidR="00512527" w:rsidRPr="00502642" w:rsidRDefault="00B07AEE" w:rsidP="00512527">
      <w:pPr>
        <w:pStyle w:val="Tekstpodstawowy"/>
        <w:spacing w:line="240" w:lineRule="auto"/>
        <w:jc w:val="left"/>
        <w:rPr>
          <w:rFonts w:ascii="Times New Roman" w:eastAsia="Cambria" w:hAnsi="Times New Roman"/>
          <w:sz w:val="18"/>
          <w:szCs w:val="18"/>
          <w:lang w:val="en-US" w:eastAsia="en-US"/>
        </w:rPr>
      </w:pPr>
      <w:proofErr w:type="spellStart"/>
      <w:r w:rsidRPr="00502642">
        <w:rPr>
          <w:rFonts w:ascii="Times New Roman" w:eastAsia="Cambria" w:hAnsi="Times New Roman"/>
          <w:b/>
          <w:sz w:val="18"/>
          <w:szCs w:val="18"/>
          <w:lang w:val="en-US" w:eastAsia="en-US"/>
        </w:rPr>
        <w:t>Zmieniamy</w:t>
      </w:r>
      <w:proofErr w:type="spellEnd"/>
      <w:r w:rsidRPr="00502642">
        <w:rPr>
          <w:rFonts w:ascii="Times New Roman" w:eastAsia="Cambria" w:hAnsi="Times New Roman"/>
          <w:b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ascii="Times New Roman" w:eastAsia="Cambria" w:hAnsi="Times New Roman"/>
          <w:b/>
          <w:sz w:val="18"/>
          <w:szCs w:val="18"/>
          <w:lang w:val="en-US" w:eastAsia="en-US"/>
        </w:rPr>
        <w:t>zapis</w:t>
      </w:r>
      <w:proofErr w:type="spellEnd"/>
      <w:r w:rsidRPr="00502642">
        <w:rPr>
          <w:rFonts w:ascii="Times New Roman" w:eastAsia="Cambria" w:hAnsi="Times New Roman"/>
          <w:b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ascii="Times New Roman" w:eastAsia="Cambria" w:hAnsi="Times New Roman"/>
          <w:b/>
          <w:sz w:val="18"/>
          <w:szCs w:val="18"/>
          <w:lang w:val="en-US" w:eastAsia="en-US"/>
        </w:rPr>
        <w:t>na</w:t>
      </w:r>
      <w:proofErr w:type="spellEnd"/>
      <w:r w:rsidRPr="00502642">
        <w:rPr>
          <w:rFonts w:ascii="Times New Roman" w:eastAsia="Cambria" w:hAnsi="Times New Roman"/>
          <w:b/>
          <w:sz w:val="18"/>
          <w:szCs w:val="18"/>
          <w:lang w:val="en-US" w:eastAsia="en-US"/>
        </w:rPr>
        <w:t>:</w:t>
      </w:r>
      <w:r w:rsidRPr="00502642">
        <w:rPr>
          <w:rFonts w:ascii="Times New Roman" w:eastAsia="Cambria" w:hAnsi="Times New Roman"/>
          <w:b/>
          <w:sz w:val="18"/>
          <w:szCs w:val="18"/>
          <w:lang w:val="en-US" w:eastAsia="en-US"/>
        </w:rPr>
        <w:br/>
      </w:r>
      <w:r w:rsidR="00D56F78">
        <w:rPr>
          <w:rFonts w:ascii="Times New Roman" w:eastAsia="Cambria" w:hAnsi="Times New Roman"/>
          <w:b/>
          <w:sz w:val="18"/>
          <w:szCs w:val="18"/>
          <w:lang w:val="en-US" w:eastAsia="en-US"/>
        </w:rPr>
        <w:br/>
      </w:r>
      <w:r w:rsidR="00512527" w:rsidRPr="00502642">
        <w:rPr>
          <w:rFonts w:ascii="Times New Roman" w:eastAsia="Cambria" w:hAnsi="Times New Roman"/>
          <w:b/>
          <w:sz w:val="18"/>
          <w:szCs w:val="18"/>
          <w:lang w:val="en-US" w:eastAsia="en-US"/>
        </w:rPr>
        <w:t>Ad A</w:t>
      </w:r>
      <w:r w:rsidR="00512527" w:rsidRPr="00502642">
        <w:rPr>
          <w:rFonts w:ascii="Times New Roman" w:eastAsia="Cambria" w:hAnsi="Times New Roman"/>
          <w:sz w:val="18"/>
          <w:szCs w:val="18"/>
          <w:lang w:val="en-US" w:eastAsia="en-US"/>
        </w:rPr>
        <w:t xml:space="preserve"> </w:t>
      </w:r>
    </w:p>
    <w:p w:rsidR="00512527" w:rsidRPr="00502642" w:rsidRDefault="00512527" w:rsidP="00512527">
      <w:pPr>
        <w:spacing w:before="180" w:after="180"/>
        <w:rPr>
          <w:rFonts w:eastAsia="Cambria"/>
          <w:sz w:val="18"/>
          <w:szCs w:val="18"/>
          <w:lang w:val="en-US" w:eastAsia="en-US"/>
        </w:rPr>
      </w:pPr>
      <w:r w:rsidRPr="00502642">
        <w:rPr>
          <w:rFonts w:eastAsia="Cambria"/>
          <w:sz w:val="18"/>
          <w:szCs w:val="18"/>
          <w:lang w:val="en-US" w:eastAsia="en-US"/>
        </w:rPr>
        <w:t>„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Zamawiający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wymaga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aby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wszystkie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elementy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systemu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zamkniętego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do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pobierania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krwi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żylnej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(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pozycje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: 1-12, 14, 17-27)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pochodziły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od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jednego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producenta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(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wytwórcy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). W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przypadku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zaoferowania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asortymentu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od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różnych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producentów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,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Zamawiający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wymaga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dołączenia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oświadczeń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od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producentów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(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wytwórców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)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poszczególnych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elementów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potwierdzających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wzajemną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kompatybilność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zaoferowanych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elementów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systemów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>”</w:t>
      </w:r>
    </w:p>
    <w:p w:rsidR="00512527" w:rsidRPr="00502642" w:rsidRDefault="00512527" w:rsidP="00512527">
      <w:pPr>
        <w:spacing w:before="180" w:after="180"/>
        <w:rPr>
          <w:rFonts w:eastAsia="Cambria"/>
          <w:sz w:val="18"/>
          <w:szCs w:val="18"/>
          <w:lang w:val="en-US" w:eastAsia="en-US"/>
        </w:rPr>
      </w:pPr>
      <w:proofErr w:type="spellStart"/>
      <w:r w:rsidRPr="00502642">
        <w:rPr>
          <w:rFonts w:eastAsia="Cambria"/>
          <w:sz w:val="18"/>
          <w:szCs w:val="18"/>
          <w:lang w:val="en-US" w:eastAsia="en-US"/>
        </w:rPr>
        <w:t>Podtrzymujemy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wymóg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pochodzenia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systemów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od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jednego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producenta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,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ponieważ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gwarantuje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on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pełną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kompatybilność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jego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elementów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na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poziomie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technicznym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, ale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również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zapewnia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wysoki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jednolity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poziom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wszystkich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elementów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systemu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do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pobierania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krwi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na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poziomie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klinicznym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. System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działa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jako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całość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jako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całość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jest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projektowany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, a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jego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elementy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są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wspólnie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walidowane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dla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celów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diagnostyki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laboratoryjnej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.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Zamawiający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świadomy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jak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wielkie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znaczenie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ma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faza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przedlaboratoryjna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dla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leczenia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pacjentów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ma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obowiązek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zapewnić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wysokiej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jakości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sprawdzony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system Pa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Liaj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Na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potwierdzenie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,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że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nie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jest to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oczekiwanie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wydumane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,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można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przytoczyć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zalecanie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CLS (clinical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af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Laboratory Standards Institute) H01-A5 Tubes and Additives for Venous Blood Specimen Collection, w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której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zaleca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się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stosowanie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systemów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pochodzących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od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jednego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producenta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, a w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przypadku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zakupu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systemu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pochodzącego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od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różnych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producentów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wymagana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jest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jego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pełna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walidacja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(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proces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pracochłonny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kosztowny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)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złagodzenie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tego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wymogu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dopuszczenie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elementów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różnych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systemów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przedstawienie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oświadczeń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producentów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nie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jest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pozorne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.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Dystrybutorzy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wyrobów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medycznych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współpracują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z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producentami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>/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wytwórcami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sprzedawanych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przez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siebie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produktów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nie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ma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żadnego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powodu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dla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którego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nie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mieli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by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takich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oświadczeń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uzyskać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>.</w:t>
      </w:r>
    </w:p>
    <w:p w:rsidR="00512527" w:rsidRPr="00502642" w:rsidRDefault="00512527" w:rsidP="00512527">
      <w:pPr>
        <w:spacing w:before="180" w:after="180"/>
        <w:rPr>
          <w:rFonts w:eastAsia="Cambria"/>
          <w:sz w:val="18"/>
          <w:szCs w:val="18"/>
          <w:lang w:val="en-US" w:eastAsia="en-US"/>
        </w:rPr>
      </w:pPr>
      <w:proofErr w:type="spellStart"/>
      <w:r w:rsidRPr="00502642">
        <w:rPr>
          <w:rFonts w:eastAsia="Cambria"/>
          <w:sz w:val="18"/>
          <w:szCs w:val="18"/>
          <w:lang w:val="en-US" w:eastAsia="en-US"/>
        </w:rPr>
        <w:t>Argumentacja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Odwołującego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,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że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słowo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„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producent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”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„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wytwórca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”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nie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są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synonimami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w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języku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polskim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wydaje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się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mocno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naciągana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,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tym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bardziej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że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sam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Odwołujący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w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odwołaniu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z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dn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, 18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lutego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2015 r.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przeciw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: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Szpital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Uniwersytecki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nr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1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im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.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dr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A.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Jurasza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w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Bydgoszczy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(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Sygn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.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akt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: KIO 317/15)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sam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podaję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odwrotne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znaczenie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obydwu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terminów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niż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w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przedmiotowym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odwołaniu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. W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złożonym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w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tamtym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postępowaniu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oświadczaniu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Odwołujący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twierdził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,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że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jest „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producentem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”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wytwarzanych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przez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firmę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Hongyu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Medical z Chin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elementów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systemu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... A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więc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Odwołujący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dopasowuje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znaczenie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słów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,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tak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jak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mu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odpowiada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>.</w:t>
      </w:r>
    </w:p>
    <w:p w:rsidR="00512527" w:rsidRPr="00D56F78" w:rsidRDefault="00512527" w:rsidP="00512527">
      <w:pPr>
        <w:spacing w:before="180" w:after="180"/>
        <w:rPr>
          <w:rFonts w:eastAsia="Cambria"/>
          <w:b/>
          <w:sz w:val="18"/>
          <w:szCs w:val="18"/>
          <w:lang w:val="en-US" w:eastAsia="en-US"/>
        </w:rPr>
      </w:pPr>
      <w:proofErr w:type="spellStart"/>
      <w:r w:rsidRPr="00502642">
        <w:rPr>
          <w:rFonts w:eastAsia="Cambria"/>
          <w:sz w:val="18"/>
          <w:szCs w:val="18"/>
          <w:lang w:val="en-US" w:eastAsia="en-US"/>
        </w:rPr>
        <w:t>Zgadzamy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się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wymienić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pozycje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,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które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w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ramach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Zadania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22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są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elementami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systemu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zamkniętego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do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pobierania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krwi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żylnej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>.</w:t>
      </w:r>
      <w:r w:rsidR="00D56F78">
        <w:rPr>
          <w:rFonts w:eastAsia="Cambria"/>
          <w:sz w:val="18"/>
          <w:szCs w:val="18"/>
          <w:lang w:val="en-US" w:eastAsia="en-US"/>
        </w:rPr>
        <w:br/>
      </w:r>
      <w:r w:rsidR="00B07AEE" w:rsidRPr="00502642">
        <w:rPr>
          <w:rFonts w:eastAsia="Cambria"/>
          <w:b/>
          <w:sz w:val="18"/>
          <w:szCs w:val="18"/>
          <w:lang w:val="en-US" w:eastAsia="en-US"/>
        </w:rPr>
        <w:br/>
      </w:r>
      <w:r w:rsidRPr="00502642">
        <w:rPr>
          <w:rFonts w:eastAsia="Cambria"/>
          <w:b/>
          <w:sz w:val="18"/>
          <w:szCs w:val="18"/>
          <w:lang w:val="en-US" w:eastAsia="en-US"/>
        </w:rPr>
        <w:t>Ad B</w:t>
      </w:r>
    </w:p>
    <w:p w:rsidR="00512527" w:rsidRPr="00502642" w:rsidRDefault="00512527" w:rsidP="00512527">
      <w:pPr>
        <w:spacing w:before="180" w:after="180"/>
        <w:rPr>
          <w:rFonts w:eastAsia="Cambria"/>
          <w:sz w:val="18"/>
          <w:szCs w:val="18"/>
          <w:lang w:val="en-US" w:eastAsia="en-US"/>
        </w:rPr>
      </w:pPr>
      <w:proofErr w:type="spellStart"/>
      <w:r w:rsidRPr="00502642">
        <w:rPr>
          <w:rFonts w:eastAsia="Cambria"/>
          <w:sz w:val="18"/>
          <w:szCs w:val="18"/>
          <w:lang w:val="en-US" w:eastAsia="en-US"/>
        </w:rPr>
        <w:t>Według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wiedzy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doświadczenia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Zamawiającego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,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który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używał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również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systemu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z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korkami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wciskanymi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,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probówki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z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zamknięciem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zakręcanym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dają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większą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gwarancję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pewnego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zamknięcia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podczas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transportu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oraz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obróbki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w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laboratorium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.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Efekt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aerozolowy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jest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również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mniejszy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kiedy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otwiera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się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probówkę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zakręcaną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. Z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tego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, co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powszechnie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wiadomo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firma Greiner Bio-One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oferuje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probówki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zakręcane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jako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produkt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„premium”, a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nie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starszą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wersję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systemu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>.</w:t>
      </w:r>
      <w:r w:rsidR="00B07AEE" w:rsidRPr="00502642">
        <w:rPr>
          <w:rFonts w:eastAsia="Cambria"/>
          <w:sz w:val="18"/>
          <w:szCs w:val="18"/>
          <w:lang w:val="en-US" w:eastAsia="en-US"/>
        </w:rPr>
        <w:br/>
      </w:r>
      <w:r w:rsidR="00B07AEE" w:rsidRPr="00502642">
        <w:rPr>
          <w:rFonts w:eastAsia="Cambria"/>
          <w:sz w:val="18"/>
          <w:szCs w:val="18"/>
          <w:lang w:val="en-US" w:eastAsia="en-US"/>
        </w:rPr>
        <w:br/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Dlatego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dla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Zamawiającego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zakręcane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korki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stanowią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zaletę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a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nie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wadę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systemu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próżniowego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do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pobierania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krwi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.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Probówka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do OB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nie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ma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zakręcanego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korka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ponieważ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jest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wąska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długa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(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wstawiana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jako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„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rurka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”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opadowa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do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aparatu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)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względu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na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swoją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konstrukcję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przeznaczenie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(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probówka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ta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nie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jest w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ogóle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przeznaczona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do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otwierania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,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ani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podczas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pobierania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krwi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ani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oznaczania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OB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na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aparacie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,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dlatego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mają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wysoki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solidny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dobrze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przylegający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do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probówki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wciskany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korek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,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który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nie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pozwala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na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przypadkowe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otwarcie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>)</w:t>
      </w:r>
    </w:p>
    <w:p w:rsidR="00512527" w:rsidRPr="00502642" w:rsidRDefault="00512527" w:rsidP="00512527">
      <w:pPr>
        <w:spacing w:before="180" w:after="180"/>
        <w:rPr>
          <w:rFonts w:eastAsia="Cambria"/>
          <w:sz w:val="18"/>
          <w:szCs w:val="18"/>
          <w:lang w:val="en-US" w:eastAsia="en-US"/>
        </w:rPr>
      </w:pPr>
      <w:proofErr w:type="spellStart"/>
      <w:r w:rsidRPr="00502642">
        <w:rPr>
          <w:rFonts w:eastAsia="Cambria"/>
          <w:sz w:val="18"/>
          <w:szCs w:val="18"/>
          <w:lang w:val="en-US" w:eastAsia="en-US"/>
        </w:rPr>
        <w:lastRenderedPageBreak/>
        <w:t>Jednak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, aby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ułatwić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konkurencję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przenosimy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wymóg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posiadania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przez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system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zakręcanych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korków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(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wyjątkiem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pozycji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14) do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parametrów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ocenianych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>.</w:t>
      </w:r>
    </w:p>
    <w:p w:rsidR="00512527" w:rsidRPr="00502642" w:rsidRDefault="00512527" w:rsidP="00512527">
      <w:pPr>
        <w:spacing w:before="180" w:after="180"/>
        <w:rPr>
          <w:rFonts w:eastAsia="Cambria"/>
          <w:sz w:val="18"/>
          <w:szCs w:val="18"/>
          <w:lang w:val="en-US" w:eastAsia="en-US"/>
        </w:rPr>
      </w:pPr>
      <w:proofErr w:type="spellStart"/>
      <w:r w:rsidRPr="00502642">
        <w:rPr>
          <w:rFonts w:eastAsia="Cambria"/>
          <w:sz w:val="18"/>
          <w:szCs w:val="18"/>
          <w:lang w:val="en-US" w:eastAsia="en-US"/>
        </w:rPr>
        <w:t>Parametry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oceniane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dla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</w:t>
      </w:r>
      <w:proofErr w:type="spellStart"/>
      <w:r w:rsidRPr="00502642">
        <w:rPr>
          <w:rFonts w:eastAsia="Cambria"/>
          <w:sz w:val="18"/>
          <w:szCs w:val="18"/>
          <w:lang w:val="en-US" w:eastAsia="en-US"/>
        </w:rPr>
        <w:t>Zadania</w:t>
      </w:r>
      <w:proofErr w:type="spellEnd"/>
      <w:r w:rsidRPr="00502642">
        <w:rPr>
          <w:rFonts w:eastAsia="Cambria"/>
          <w:sz w:val="18"/>
          <w:szCs w:val="18"/>
          <w:lang w:val="en-US" w:eastAsia="en-US"/>
        </w:rPr>
        <w:t xml:space="preserve"> 22</w:t>
      </w:r>
      <w:r w:rsidRPr="00502642">
        <w:rPr>
          <w:rFonts w:eastAsia="Cambria"/>
          <w:sz w:val="18"/>
          <w:szCs w:val="18"/>
          <w:lang w:val="en-US" w:eastAsia="en-US"/>
        </w:rPr>
        <w:br/>
      </w:r>
    </w:p>
    <w:tbl>
      <w:tblPr>
        <w:tblStyle w:val="Tabela-Siatka1"/>
        <w:tblW w:w="9747" w:type="dxa"/>
        <w:tblInd w:w="0" w:type="dxa"/>
        <w:tblLook w:val="04A0" w:firstRow="1" w:lastRow="0" w:firstColumn="1" w:lastColumn="0" w:noHBand="0" w:noVBand="1"/>
      </w:tblPr>
      <w:tblGrid>
        <w:gridCol w:w="534"/>
        <w:gridCol w:w="5953"/>
        <w:gridCol w:w="1701"/>
        <w:gridCol w:w="1559"/>
      </w:tblGrid>
      <w:tr w:rsidR="00512527" w:rsidRPr="00502642" w:rsidTr="005125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27" w:rsidRPr="00502642" w:rsidRDefault="00512527">
            <w:pPr>
              <w:spacing w:before="180" w:after="1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27" w:rsidRPr="00502642" w:rsidRDefault="00512527">
            <w:pPr>
              <w:spacing w:before="180" w:after="18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Parametr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27" w:rsidRPr="00502642" w:rsidRDefault="00512527">
            <w:pPr>
              <w:spacing w:before="180" w:after="18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Punktacja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27" w:rsidRPr="00502642" w:rsidRDefault="00512527">
            <w:pPr>
              <w:spacing w:before="180" w:after="18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Tak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Nie</w:t>
            </w:r>
            <w:proofErr w:type="spellEnd"/>
          </w:p>
        </w:tc>
      </w:tr>
      <w:tr w:rsidR="00512527" w:rsidRPr="00502642" w:rsidTr="005125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27" w:rsidRPr="00502642" w:rsidRDefault="00512527">
            <w:pPr>
              <w:spacing w:before="180" w:after="180"/>
              <w:rPr>
                <w:rFonts w:ascii="Times New Roman" w:hAnsi="Times New Roman"/>
                <w:sz w:val="18"/>
                <w:szCs w:val="18"/>
              </w:rPr>
            </w:pPr>
            <w:r w:rsidRPr="005026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27" w:rsidRPr="00502642" w:rsidRDefault="00512527">
            <w:pPr>
              <w:spacing w:before="180" w:after="18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Probówki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zaoferowanego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systemu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posiadają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zamknięcie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zakręcane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za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wyjątkiem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probówek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do OB z </w:t>
            </w: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pozycji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nr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27" w:rsidRPr="00502642" w:rsidRDefault="00512527">
            <w:pPr>
              <w:spacing w:before="180" w:after="18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Tak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– 10</w:t>
            </w:r>
            <w:r w:rsidRPr="00502642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Nie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– 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27" w:rsidRPr="00502642" w:rsidRDefault="00512527">
            <w:pPr>
              <w:spacing w:before="180" w:after="18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2527" w:rsidRPr="00502642" w:rsidTr="00512527">
        <w:trPr>
          <w:trHeight w:val="8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27" w:rsidRPr="00502642" w:rsidRDefault="00512527">
            <w:pPr>
              <w:spacing w:before="180" w:after="180"/>
              <w:rPr>
                <w:rFonts w:ascii="Times New Roman" w:hAnsi="Times New Roman"/>
                <w:sz w:val="18"/>
                <w:szCs w:val="18"/>
              </w:rPr>
            </w:pPr>
            <w:r w:rsidRPr="005026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27" w:rsidRPr="00502642" w:rsidRDefault="00512527">
            <w:pPr>
              <w:spacing w:before="180" w:after="18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Czas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wykrzepiania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standardowej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probówki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biochemicznej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do 30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27" w:rsidRPr="00502642" w:rsidRDefault="00512527">
            <w:pPr>
              <w:spacing w:before="180" w:after="18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Tak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– 10</w:t>
            </w:r>
          </w:p>
          <w:p w:rsidR="00512527" w:rsidRPr="00502642" w:rsidRDefault="00512527">
            <w:pPr>
              <w:spacing w:before="180" w:after="18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Nie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–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27" w:rsidRPr="00502642" w:rsidRDefault="00512527">
            <w:pPr>
              <w:spacing w:before="180" w:after="18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2527" w:rsidRPr="00502642" w:rsidTr="005125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27" w:rsidRPr="00502642" w:rsidRDefault="00512527">
            <w:pPr>
              <w:spacing w:before="180" w:after="180"/>
              <w:rPr>
                <w:rFonts w:ascii="Times New Roman" w:hAnsi="Times New Roman"/>
                <w:sz w:val="18"/>
                <w:szCs w:val="18"/>
              </w:rPr>
            </w:pPr>
            <w:r w:rsidRPr="0050264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27" w:rsidRPr="00502642" w:rsidRDefault="00512527">
            <w:pPr>
              <w:spacing w:before="180" w:after="18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Wszystkie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probówki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wykonane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są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tworzywa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sztucznego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(PET </w:t>
            </w: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lub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PP)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27" w:rsidRPr="00502642" w:rsidRDefault="00512527">
            <w:pPr>
              <w:spacing w:before="180" w:after="18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Tak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– 10</w:t>
            </w:r>
          </w:p>
          <w:p w:rsidR="00512527" w:rsidRPr="00502642" w:rsidRDefault="00512527">
            <w:pPr>
              <w:spacing w:before="180" w:after="18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Nie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–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27" w:rsidRPr="00502642" w:rsidRDefault="00512527">
            <w:pPr>
              <w:spacing w:before="180" w:after="18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2527" w:rsidRPr="00502642" w:rsidTr="005125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27" w:rsidRPr="00502642" w:rsidRDefault="00512527">
            <w:pPr>
              <w:spacing w:before="180" w:after="180"/>
              <w:rPr>
                <w:rFonts w:ascii="Times New Roman" w:hAnsi="Times New Roman"/>
                <w:sz w:val="18"/>
                <w:szCs w:val="18"/>
              </w:rPr>
            </w:pPr>
            <w:r w:rsidRPr="0050264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27" w:rsidRPr="00502642" w:rsidRDefault="00512527">
            <w:pPr>
              <w:spacing w:before="180" w:after="18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Termin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ważności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probówki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koagulologicznej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dniu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dostawy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co </w:t>
            </w: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najmniej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10 </w:t>
            </w: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miesięcy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27" w:rsidRPr="00502642" w:rsidRDefault="00512527">
            <w:pPr>
              <w:spacing w:before="180" w:after="18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Tak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– 10</w:t>
            </w:r>
          </w:p>
          <w:p w:rsidR="00512527" w:rsidRPr="00502642" w:rsidRDefault="00512527">
            <w:pPr>
              <w:spacing w:before="180" w:after="18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2642">
              <w:rPr>
                <w:rFonts w:ascii="Times New Roman" w:hAnsi="Times New Roman"/>
                <w:sz w:val="18"/>
                <w:szCs w:val="18"/>
              </w:rPr>
              <w:t>Nie</w:t>
            </w:r>
            <w:proofErr w:type="spellEnd"/>
            <w:r w:rsidRPr="00502642">
              <w:rPr>
                <w:rFonts w:ascii="Times New Roman" w:hAnsi="Times New Roman"/>
                <w:sz w:val="18"/>
                <w:szCs w:val="18"/>
              </w:rPr>
              <w:t xml:space="preserve"> –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27" w:rsidRPr="00502642" w:rsidRDefault="00512527">
            <w:pPr>
              <w:spacing w:before="180" w:after="18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2527" w:rsidRPr="00502642" w:rsidRDefault="00512527" w:rsidP="00512527">
      <w:pPr>
        <w:rPr>
          <w:sz w:val="18"/>
          <w:szCs w:val="18"/>
        </w:rPr>
      </w:pPr>
    </w:p>
    <w:p w:rsidR="00B401A4" w:rsidRPr="00FD5711" w:rsidRDefault="00B401A4" w:rsidP="00B401A4">
      <w:pPr>
        <w:pStyle w:val="Tekstpodstawowy"/>
        <w:ind w:left="3825" w:firstLine="423"/>
        <w:jc w:val="center"/>
        <w:rPr>
          <w:rFonts w:ascii="Times New Roman" w:hAnsi="Times New Roman"/>
          <w:b/>
          <w:i/>
          <w:sz w:val="24"/>
        </w:rPr>
      </w:pPr>
      <w:r w:rsidRPr="00FD5711">
        <w:rPr>
          <w:rFonts w:ascii="Times New Roman" w:hAnsi="Times New Roman"/>
          <w:b/>
          <w:i/>
          <w:sz w:val="24"/>
        </w:rPr>
        <w:t>Zamawiający</w:t>
      </w:r>
      <w:r>
        <w:rPr>
          <w:rFonts w:ascii="Times New Roman" w:hAnsi="Times New Roman"/>
          <w:b/>
          <w:i/>
          <w:sz w:val="24"/>
        </w:rPr>
        <w:br/>
      </w:r>
      <w:r>
        <w:rPr>
          <w:rFonts w:ascii="Times New Roman" w:hAnsi="Times New Roman"/>
          <w:b/>
          <w:i/>
          <w:sz w:val="24"/>
        </w:rPr>
        <w:br/>
      </w:r>
      <w:r w:rsidRPr="00FD5711">
        <w:rPr>
          <w:rFonts w:ascii="Times New Roman" w:hAnsi="Times New Roman"/>
          <w:b/>
          <w:i/>
          <w:sz w:val="24"/>
        </w:rPr>
        <w:t xml:space="preserve">Dr n med. Jerzy </w:t>
      </w:r>
      <w:proofErr w:type="spellStart"/>
      <w:r w:rsidRPr="00FD5711">
        <w:rPr>
          <w:rFonts w:ascii="Times New Roman" w:hAnsi="Times New Roman"/>
          <w:b/>
          <w:i/>
          <w:sz w:val="24"/>
        </w:rPr>
        <w:t>Friediger</w:t>
      </w:r>
      <w:proofErr w:type="spellEnd"/>
      <w:r w:rsidRPr="00FD5711">
        <w:rPr>
          <w:rFonts w:ascii="Times New Roman" w:hAnsi="Times New Roman"/>
          <w:b/>
          <w:i/>
          <w:sz w:val="24"/>
        </w:rPr>
        <w:t xml:space="preserve"> – Dyrektor Szpitala</w:t>
      </w:r>
    </w:p>
    <w:p w:rsidR="00571121" w:rsidRPr="00502642" w:rsidRDefault="00512527" w:rsidP="00B07AEE">
      <w:pPr>
        <w:pStyle w:val="Tekstpodstawowy"/>
        <w:ind w:left="3825" w:firstLine="423"/>
        <w:jc w:val="center"/>
        <w:rPr>
          <w:rFonts w:ascii="Times New Roman" w:hAnsi="Times New Roman"/>
          <w:b/>
          <w:i/>
          <w:sz w:val="18"/>
          <w:szCs w:val="18"/>
        </w:rPr>
      </w:pPr>
      <w:r w:rsidRPr="00502642">
        <w:rPr>
          <w:rFonts w:ascii="Times New Roman" w:hAnsi="Times New Roman"/>
          <w:b/>
          <w:i/>
          <w:sz w:val="18"/>
          <w:szCs w:val="18"/>
        </w:rPr>
        <w:br/>
      </w:r>
      <w:r w:rsidRPr="00502642">
        <w:rPr>
          <w:rFonts w:ascii="Times New Roman" w:hAnsi="Times New Roman"/>
          <w:b/>
          <w:i/>
          <w:sz w:val="18"/>
          <w:szCs w:val="18"/>
        </w:rPr>
        <w:br/>
      </w:r>
    </w:p>
    <w:sectPr w:rsidR="00571121" w:rsidRPr="005026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653" w:rsidRDefault="00DC5653">
      <w:r>
        <w:separator/>
      </w:r>
    </w:p>
  </w:endnote>
  <w:endnote w:type="continuationSeparator" w:id="0">
    <w:p w:rsidR="00DC5653" w:rsidRDefault="00DC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DED" w:rsidRDefault="00EA2D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5C0" w:rsidRDefault="00A37A0C">
    <w:pPr>
      <w:pStyle w:val="Stopka"/>
      <w:tabs>
        <w:tab w:val="clear" w:pos="4536"/>
      </w:tabs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78740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E1FB3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5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"/>
          </w:pict>
        </mc:Fallback>
      </mc:AlternateContent>
    </w:r>
  </w:p>
  <w:p w:rsidR="004C45C0" w:rsidRPr="0045594D" w:rsidRDefault="004C45C0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 w:rsidRPr="0045594D">
      <w:rPr>
        <w:rFonts w:ascii="Arial" w:hAnsi="Arial"/>
        <w:sz w:val="18"/>
        <w:szCs w:val="18"/>
      </w:rPr>
      <w:t xml:space="preserve">System </w:t>
    </w:r>
    <w:proofErr w:type="spellStart"/>
    <w:r w:rsidRPr="0045594D">
      <w:rPr>
        <w:rFonts w:ascii="Arial" w:hAnsi="Arial"/>
        <w:sz w:val="18"/>
        <w:szCs w:val="18"/>
      </w:rPr>
      <w:t>ProPublico</w:t>
    </w:r>
    <w:proofErr w:type="spellEnd"/>
    <w:r w:rsidRPr="0045594D">
      <w:rPr>
        <w:rFonts w:ascii="Arial" w:hAnsi="Arial"/>
        <w:sz w:val="18"/>
        <w:szCs w:val="18"/>
      </w:rPr>
      <w:t xml:space="preserve"> © </w:t>
    </w:r>
    <w:proofErr w:type="spellStart"/>
    <w:r w:rsidRPr="0045594D">
      <w:rPr>
        <w:rFonts w:ascii="Arial" w:hAnsi="Arial"/>
        <w:sz w:val="18"/>
        <w:szCs w:val="18"/>
      </w:rPr>
      <w:t>Datacomp</w:t>
    </w:r>
    <w:proofErr w:type="spellEnd"/>
    <w:r w:rsidRPr="0045594D">
      <w:rPr>
        <w:rFonts w:ascii="Arial" w:hAnsi="Arial"/>
        <w:sz w:val="18"/>
        <w:szCs w:val="18"/>
      </w:rPr>
      <w:tab/>
    </w:r>
    <w:r w:rsidRPr="0045594D">
      <w:rPr>
        <w:rStyle w:val="Numerstrony"/>
        <w:rFonts w:ascii="Arial" w:hAnsi="Arial"/>
        <w:sz w:val="18"/>
        <w:szCs w:val="18"/>
      </w:rPr>
      <w:t xml:space="preserve">Strona: </w:t>
    </w:r>
    <w:r w:rsidRPr="0045594D">
      <w:rPr>
        <w:rStyle w:val="Numerstrony"/>
        <w:rFonts w:ascii="Arial" w:hAnsi="Arial"/>
        <w:sz w:val="18"/>
        <w:szCs w:val="18"/>
      </w:rPr>
      <w:fldChar w:fldCharType="begin"/>
    </w:r>
    <w:r w:rsidRPr="0045594D">
      <w:rPr>
        <w:rStyle w:val="Numerstrony"/>
        <w:rFonts w:ascii="Arial" w:hAnsi="Arial"/>
        <w:sz w:val="18"/>
        <w:szCs w:val="18"/>
      </w:rPr>
      <w:instrText xml:space="preserve"> PAGE </w:instrText>
    </w:r>
    <w:r w:rsidRPr="0045594D">
      <w:rPr>
        <w:rStyle w:val="Numerstrony"/>
        <w:rFonts w:ascii="Arial" w:hAnsi="Arial"/>
        <w:sz w:val="18"/>
        <w:szCs w:val="18"/>
      </w:rPr>
      <w:fldChar w:fldCharType="separate"/>
    </w:r>
    <w:r w:rsidR="00B401A4">
      <w:rPr>
        <w:rStyle w:val="Numerstrony"/>
        <w:rFonts w:ascii="Arial" w:hAnsi="Arial"/>
        <w:noProof/>
        <w:sz w:val="18"/>
        <w:szCs w:val="18"/>
      </w:rPr>
      <w:t>2</w:t>
    </w:r>
    <w:r w:rsidRPr="0045594D">
      <w:rPr>
        <w:rStyle w:val="Numerstrony"/>
        <w:rFonts w:ascii="Arial" w:hAnsi="Arial"/>
        <w:sz w:val="18"/>
        <w:szCs w:val="18"/>
      </w:rPr>
      <w:fldChar w:fldCharType="end"/>
    </w:r>
    <w:r w:rsidRPr="0045594D">
      <w:rPr>
        <w:rStyle w:val="Numerstrony"/>
        <w:rFonts w:ascii="Arial" w:hAnsi="Arial"/>
        <w:sz w:val="18"/>
        <w:szCs w:val="18"/>
      </w:rPr>
      <w:t>/</w:t>
    </w:r>
    <w:r w:rsidRPr="0045594D">
      <w:rPr>
        <w:rStyle w:val="Numerstrony"/>
        <w:rFonts w:ascii="Arial" w:hAnsi="Arial"/>
        <w:sz w:val="18"/>
        <w:szCs w:val="18"/>
      </w:rPr>
      <w:fldChar w:fldCharType="begin"/>
    </w:r>
    <w:r w:rsidRPr="0045594D">
      <w:rPr>
        <w:rStyle w:val="Numerstrony"/>
        <w:rFonts w:ascii="Arial" w:hAnsi="Arial"/>
        <w:sz w:val="18"/>
        <w:szCs w:val="18"/>
      </w:rPr>
      <w:instrText xml:space="preserve"> NUMPAGES </w:instrText>
    </w:r>
    <w:r w:rsidRPr="0045594D">
      <w:rPr>
        <w:rStyle w:val="Numerstrony"/>
        <w:rFonts w:ascii="Arial" w:hAnsi="Arial"/>
        <w:sz w:val="18"/>
        <w:szCs w:val="18"/>
      </w:rPr>
      <w:fldChar w:fldCharType="separate"/>
    </w:r>
    <w:r w:rsidR="00B401A4">
      <w:rPr>
        <w:rStyle w:val="Numerstrony"/>
        <w:rFonts w:ascii="Arial" w:hAnsi="Arial"/>
        <w:noProof/>
        <w:sz w:val="18"/>
        <w:szCs w:val="18"/>
      </w:rPr>
      <w:t>2</w:t>
    </w:r>
    <w:r w:rsidRPr="0045594D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DED" w:rsidRDefault="00EA2D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653" w:rsidRDefault="00DC5653">
      <w:r>
        <w:separator/>
      </w:r>
    </w:p>
  </w:footnote>
  <w:footnote w:type="continuationSeparator" w:id="0">
    <w:p w:rsidR="00DC5653" w:rsidRDefault="00DC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DED" w:rsidRDefault="00EA2D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DED" w:rsidRDefault="00EA2D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DED" w:rsidRDefault="00EA2D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A8"/>
    <w:rsid w:val="00001773"/>
    <w:rsid w:val="000A35CF"/>
    <w:rsid w:val="000A5A22"/>
    <w:rsid w:val="001601A8"/>
    <w:rsid w:val="001807C5"/>
    <w:rsid w:val="002C4499"/>
    <w:rsid w:val="003A0205"/>
    <w:rsid w:val="0045594D"/>
    <w:rsid w:val="004C45C0"/>
    <w:rsid w:val="00502642"/>
    <w:rsid w:val="00512527"/>
    <w:rsid w:val="00571121"/>
    <w:rsid w:val="005F2266"/>
    <w:rsid w:val="006437C0"/>
    <w:rsid w:val="006C06E7"/>
    <w:rsid w:val="00797DC5"/>
    <w:rsid w:val="00834DBE"/>
    <w:rsid w:val="008B57E5"/>
    <w:rsid w:val="00913336"/>
    <w:rsid w:val="00974AA9"/>
    <w:rsid w:val="009F725F"/>
    <w:rsid w:val="00A37A0C"/>
    <w:rsid w:val="00A47155"/>
    <w:rsid w:val="00A74246"/>
    <w:rsid w:val="00AA153C"/>
    <w:rsid w:val="00B07AEE"/>
    <w:rsid w:val="00B401A4"/>
    <w:rsid w:val="00C176B6"/>
    <w:rsid w:val="00CC7C7E"/>
    <w:rsid w:val="00D36E34"/>
    <w:rsid w:val="00D56F78"/>
    <w:rsid w:val="00DC5653"/>
    <w:rsid w:val="00DF33DF"/>
    <w:rsid w:val="00EA2DED"/>
    <w:rsid w:val="00F37716"/>
    <w:rsid w:val="00F72E33"/>
    <w:rsid w:val="00F84923"/>
    <w:rsid w:val="00F8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9D8E82"/>
  <w15:chartTrackingRefBased/>
  <w15:docId w15:val="{886E6AC9-76B1-461D-919C-18E2D591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autoSpaceDE w:val="0"/>
      <w:autoSpaceDN w:val="0"/>
      <w:spacing w:line="360" w:lineRule="auto"/>
      <w:ind w:left="567" w:firstLine="567"/>
      <w:jc w:val="both"/>
    </w:pPr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link w:val="TekstpodstawowyZnak"/>
    <w:qFormat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basedOn w:val="Domylnaczcionkaakapitu"/>
    <w:link w:val="Tekstpodstawowy"/>
    <w:rsid w:val="00512527"/>
    <w:rPr>
      <w:rFonts w:ascii="Arial" w:hAnsi="Arial"/>
      <w:sz w:val="22"/>
      <w:szCs w:val="24"/>
    </w:rPr>
  </w:style>
  <w:style w:type="table" w:customStyle="1" w:styleId="Tabela-Siatka1">
    <w:name w:val="Tabela - Siatka1"/>
    <w:basedOn w:val="Standardowy"/>
    <w:rsid w:val="00512527"/>
    <w:rPr>
      <w:rFonts w:ascii="Cambria" w:eastAsia="Cambria" w:hAnsi="Cambria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649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zp</dc:creator>
  <cp:keywords/>
  <dc:description/>
  <cp:lastModifiedBy>zp</cp:lastModifiedBy>
  <cp:revision>4</cp:revision>
  <cp:lastPrinted>2001-01-09T13:30:00Z</cp:lastPrinted>
  <dcterms:created xsi:type="dcterms:W3CDTF">2019-05-16T09:51:00Z</dcterms:created>
  <dcterms:modified xsi:type="dcterms:W3CDTF">2019-05-16T09:58:00Z</dcterms:modified>
</cp:coreProperties>
</file>