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B3" w:rsidRPr="00904CB5" w:rsidRDefault="000619F0" w:rsidP="00904CB5">
      <w:pPr>
        <w:rPr>
          <w:rFonts w:ascii="Tahoma" w:hAnsi="Tahoma" w:cs="Tahoma"/>
          <w:b/>
          <w:bCs/>
          <w:sz w:val="16"/>
          <w:szCs w:val="16"/>
        </w:rPr>
      </w:pPr>
      <w:r w:rsidRPr="00904CB5">
        <w:rPr>
          <w:rFonts w:ascii="Tahoma" w:hAnsi="Tahoma" w:cs="Tahoma"/>
          <w:b/>
          <w:bCs/>
          <w:sz w:val="16"/>
          <w:szCs w:val="16"/>
        </w:rPr>
        <w:t>Politechnika Częstochowska</w:t>
      </w:r>
    </w:p>
    <w:p w:rsidR="006D4AB3" w:rsidRPr="00904CB5" w:rsidRDefault="000619F0" w:rsidP="00904CB5">
      <w:pPr>
        <w:rPr>
          <w:rFonts w:ascii="Tahoma" w:hAnsi="Tahoma" w:cs="Tahoma"/>
          <w:b/>
          <w:bCs/>
          <w:sz w:val="16"/>
          <w:szCs w:val="16"/>
        </w:rPr>
      </w:pPr>
      <w:r w:rsidRPr="00904CB5">
        <w:rPr>
          <w:rFonts w:ascii="Tahoma" w:hAnsi="Tahoma" w:cs="Tahoma"/>
          <w:b/>
          <w:bCs/>
          <w:sz w:val="16"/>
          <w:szCs w:val="16"/>
        </w:rPr>
        <w:t>Dąbrowskiego</w:t>
      </w:r>
      <w:r w:rsidR="006D4AB3" w:rsidRPr="00904CB5">
        <w:rPr>
          <w:rFonts w:ascii="Tahoma" w:hAnsi="Tahoma" w:cs="Tahoma"/>
          <w:b/>
          <w:bCs/>
          <w:sz w:val="16"/>
          <w:szCs w:val="16"/>
        </w:rPr>
        <w:t xml:space="preserve"> </w:t>
      </w:r>
      <w:r w:rsidRPr="00904CB5">
        <w:rPr>
          <w:rFonts w:ascii="Tahoma" w:hAnsi="Tahoma" w:cs="Tahoma"/>
          <w:b/>
          <w:bCs/>
          <w:sz w:val="16"/>
          <w:szCs w:val="16"/>
        </w:rPr>
        <w:t>69</w:t>
      </w:r>
    </w:p>
    <w:p w:rsidR="006D4AB3" w:rsidRPr="00904CB5" w:rsidRDefault="000619F0" w:rsidP="00904CB5">
      <w:pPr>
        <w:rPr>
          <w:rFonts w:ascii="Tahoma" w:hAnsi="Tahoma" w:cs="Tahoma"/>
          <w:b/>
          <w:bCs/>
          <w:sz w:val="16"/>
          <w:szCs w:val="16"/>
        </w:rPr>
      </w:pPr>
      <w:r w:rsidRPr="00904CB5">
        <w:rPr>
          <w:rFonts w:ascii="Tahoma" w:hAnsi="Tahoma" w:cs="Tahoma"/>
          <w:b/>
          <w:bCs/>
          <w:sz w:val="16"/>
          <w:szCs w:val="16"/>
        </w:rPr>
        <w:t>42-201</w:t>
      </w:r>
      <w:r w:rsidR="006D4AB3" w:rsidRPr="00904CB5">
        <w:rPr>
          <w:rFonts w:ascii="Tahoma" w:hAnsi="Tahoma" w:cs="Tahoma"/>
          <w:b/>
          <w:bCs/>
          <w:sz w:val="16"/>
          <w:szCs w:val="16"/>
        </w:rPr>
        <w:t xml:space="preserve"> </w:t>
      </w:r>
      <w:r w:rsidRPr="00904CB5">
        <w:rPr>
          <w:rFonts w:ascii="Tahoma" w:hAnsi="Tahoma" w:cs="Tahoma"/>
          <w:b/>
          <w:bCs/>
          <w:sz w:val="16"/>
          <w:szCs w:val="16"/>
        </w:rPr>
        <w:t>Częstochowa</w:t>
      </w:r>
    </w:p>
    <w:p w:rsidR="006D4AB3" w:rsidRPr="00904CB5" w:rsidRDefault="000619F0" w:rsidP="00904CB5">
      <w:pPr>
        <w:pStyle w:val="Nagwek"/>
        <w:tabs>
          <w:tab w:val="clear" w:pos="4536"/>
          <w:tab w:val="clear" w:pos="9072"/>
        </w:tabs>
        <w:jc w:val="right"/>
        <w:rPr>
          <w:rFonts w:ascii="Tahoma" w:hAnsi="Tahoma" w:cs="Tahoma"/>
          <w:b/>
          <w:bCs/>
          <w:sz w:val="16"/>
          <w:szCs w:val="16"/>
        </w:rPr>
      </w:pPr>
      <w:r w:rsidRPr="00904CB5">
        <w:rPr>
          <w:rFonts w:ascii="Tahoma" w:hAnsi="Tahoma" w:cs="Tahoma"/>
          <w:sz w:val="16"/>
          <w:szCs w:val="16"/>
        </w:rPr>
        <w:t>Częstochowa</w:t>
      </w:r>
      <w:r w:rsidR="00F623C5" w:rsidRPr="00904CB5">
        <w:rPr>
          <w:rFonts w:ascii="Tahoma" w:hAnsi="Tahoma" w:cs="Tahoma"/>
          <w:sz w:val="16"/>
          <w:szCs w:val="16"/>
        </w:rPr>
        <w:t xml:space="preserve"> dnia: </w:t>
      </w:r>
      <w:r w:rsidRPr="00904CB5">
        <w:rPr>
          <w:rFonts w:ascii="Tahoma" w:hAnsi="Tahoma" w:cs="Tahoma"/>
          <w:sz w:val="16"/>
          <w:szCs w:val="16"/>
        </w:rPr>
        <w:t>2019-05-</w:t>
      </w:r>
      <w:r w:rsidR="00904CB5" w:rsidRPr="00904CB5">
        <w:rPr>
          <w:rFonts w:ascii="Tahoma" w:hAnsi="Tahoma" w:cs="Tahoma"/>
          <w:sz w:val="16"/>
          <w:szCs w:val="16"/>
        </w:rPr>
        <w:t>16</w:t>
      </w:r>
    </w:p>
    <w:p w:rsidR="006D4AB3" w:rsidRPr="00904CB5" w:rsidRDefault="006D4AB3" w:rsidP="00904CB5">
      <w:pPr>
        <w:pStyle w:val="Nagwek"/>
        <w:tabs>
          <w:tab w:val="clear" w:pos="4536"/>
          <w:tab w:val="left" w:pos="3686"/>
          <w:tab w:val="left" w:pos="7371"/>
        </w:tabs>
        <w:rPr>
          <w:rFonts w:ascii="Tahoma" w:hAnsi="Tahoma" w:cs="Tahoma"/>
          <w:sz w:val="16"/>
          <w:szCs w:val="16"/>
        </w:rPr>
      </w:pPr>
    </w:p>
    <w:p w:rsidR="006D4AB3" w:rsidRPr="00904CB5" w:rsidRDefault="00F623C5" w:rsidP="00904CB5">
      <w:pPr>
        <w:pStyle w:val="Nagwek"/>
        <w:tabs>
          <w:tab w:val="clear" w:pos="4536"/>
        </w:tabs>
        <w:rPr>
          <w:rFonts w:ascii="Tahoma" w:hAnsi="Tahoma" w:cs="Tahoma"/>
          <w:sz w:val="16"/>
          <w:szCs w:val="16"/>
        </w:rPr>
      </w:pPr>
      <w:r w:rsidRPr="00904CB5">
        <w:rPr>
          <w:rFonts w:ascii="Tahoma" w:hAnsi="Tahoma" w:cs="Tahoma"/>
          <w:b/>
          <w:bCs/>
          <w:sz w:val="16"/>
          <w:szCs w:val="16"/>
        </w:rPr>
        <w:t xml:space="preserve">L.dz.Rk - </w:t>
      </w:r>
      <w:r w:rsidR="00CF59E6">
        <w:rPr>
          <w:rFonts w:ascii="Tahoma" w:hAnsi="Tahoma" w:cs="Tahoma"/>
          <w:b/>
          <w:bCs/>
          <w:sz w:val="16"/>
          <w:szCs w:val="16"/>
        </w:rPr>
        <w:t>258</w:t>
      </w:r>
      <w:r w:rsidRPr="00904CB5">
        <w:rPr>
          <w:rFonts w:ascii="Tahoma" w:hAnsi="Tahoma" w:cs="Tahoma"/>
          <w:b/>
          <w:bCs/>
          <w:sz w:val="16"/>
          <w:szCs w:val="16"/>
        </w:rPr>
        <w:t xml:space="preserve"> /</w:t>
      </w:r>
      <w:r w:rsidR="00CF59E6">
        <w:rPr>
          <w:rFonts w:ascii="Tahoma" w:hAnsi="Tahoma" w:cs="Tahoma"/>
          <w:b/>
          <w:bCs/>
          <w:sz w:val="16"/>
          <w:szCs w:val="16"/>
        </w:rPr>
        <w:t>19</w:t>
      </w:r>
      <w:bookmarkStart w:id="0" w:name="_GoBack"/>
      <w:bookmarkEnd w:id="0"/>
      <w:r w:rsidR="006D4AB3" w:rsidRPr="00904CB5">
        <w:rPr>
          <w:rFonts w:ascii="Tahoma" w:hAnsi="Tahoma" w:cs="Tahoma"/>
          <w:sz w:val="16"/>
          <w:szCs w:val="16"/>
        </w:rPr>
        <w:tab/>
      </w:r>
    </w:p>
    <w:p w:rsidR="006D4AB3" w:rsidRPr="00904CB5" w:rsidRDefault="006D4AB3" w:rsidP="00904CB5">
      <w:pPr>
        <w:pStyle w:val="Nagwek"/>
        <w:tabs>
          <w:tab w:val="clear" w:pos="4536"/>
          <w:tab w:val="clear" w:pos="9072"/>
        </w:tabs>
        <w:rPr>
          <w:rFonts w:ascii="Tahoma" w:hAnsi="Tahoma" w:cs="Tahoma"/>
          <w:sz w:val="16"/>
          <w:szCs w:val="16"/>
        </w:rPr>
      </w:pPr>
    </w:p>
    <w:p w:rsidR="006D4AB3" w:rsidRPr="00904CB5" w:rsidRDefault="006D4AB3" w:rsidP="00904CB5">
      <w:pPr>
        <w:pStyle w:val="Nagwek1"/>
        <w:spacing w:before="0" w:after="0"/>
        <w:jc w:val="center"/>
        <w:rPr>
          <w:rFonts w:ascii="Tahoma" w:hAnsi="Tahoma" w:cs="Tahoma"/>
          <w:sz w:val="16"/>
          <w:szCs w:val="16"/>
        </w:rPr>
      </w:pPr>
      <w:r w:rsidRPr="00904CB5">
        <w:rPr>
          <w:rFonts w:ascii="Tahoma" w:hAnsi="Tahoma" w:cs="Tahoma"/>
          <w:sz w:val="16"/>
          <w:szCs w:val="16"/>
        </w:rPr>
        <w:t>O D P O W I E D Ź</w:t>
      </w:r>
    </w:p>
    <w:p w:rsidR="006D4AB3" w:rsidRPr="00904CB5" w:rsidRDefault="006D4AB3" w:rsidP="00904CB5">
      <w:pPr>
        <w:pStyle w:val="Nagwek1"/>
        <w:spacing w:before="0" w:after="0"/>
        <w:jc w:val="center"/>
        <w:rPr>
          <w:rFonts w:ascii="Tahoma" w:hAnsi="Tahoma" w:cs="Tahoma"/>
          <w:sz w:val="16"/>
          <w:szCs w:val="16"/>
        </w:rPr>
      </w:pPr>
      <w:r w:rsidRPr="00904CB5">
        <w:rPr>
          <w:rFonts w:ascii="Tahoma" w:hAnsi="Tahoma" w:cs="Tahoma"/>
          <w:sz w:val="16"/>
          <w:szCs w:val="16"/>
        </w:rPr>
        <w:t>na zapytania w sprawie SIWZ</w:t>
      </w:r>
      <w:r w:rsidR="00DE27BE" w:rsidRPr="00904CB5">
        <w:rPr>
          <w:rFonts w:ascii="Tahoma" w:hAnsi="Tahoma" w:cs="Tahoma"/>
          <w:sz w:val="16"/>
          <w:szCs w:val="16"/>
        </w:rPr>
        <w:t xml:space="preserve"> oraz zmiana SIWZ</w:t>
      </w:r>
    </w:p>
    <w:p w:rsidR="00904CB5" w:rsidRPr="00904CB5" w:rsidRDefault="00904CB5" w:rsidP="00904CB5">
      <w:pPr>
        <w:ind w:left="284"/>
        <w:jc w:val="both"/>
        <w:rPr>
          <w:rFonts w:ascii="Tahoma" w:hAnsi="Tahoma" w:cs="Tahoma"/>
          <w:i/>
          <w:sz w:val="16"/>
          <w:szCs w:val="16"/>
        </w:rPr>
      </w:pPr>
    </w:p>
    <w:p w:rsidR="006D4AB3" w:rsidRPr="00904CB5" w:rsidRDefault="006D4AB3" w:rsidP="00904CB5">
      <w:pPr>
        <w:ind w:left="284"/>
        <w:jc w:val="both"/>
        <w:rPr>
          <w:rFonts w:ascii="Tahoma" w:hAnsi="Tahoma" w:cs="Tahoma"/>
          <w:i/>
          <w:sz w:val="16"/>
          <w:szCs w:val="16"/>
        </w:rPr>
      </w:pPr>
      <w:r w:rsidRPr="00904CB5">
        <w:rPr>
          <w:rFonts w:ascii="Tahoma" w:hAnsi="Tahoma" w:cs="Tahoma"/>
          <w:i/>
          <w:sz w:val="16"/>
          <w:szCs w:val="16"/>
        </w:rPr>
        <w:t>Szanowni Państwo,</w:t>
      </w:r>
    </w:p>
    <w:p w:rsidR="00904CB5" w:rsidRPr="00904CB5" w:rsidRDefault="00904CB5" w:rsidP="00904CB5">
      <w:pPr>
        <w:pStyle w:val="Tekstpodstawowywcity3"/>
        <w:spacing w:line="240" w:lineRule="auto"/>
        <w:ind w:firstLine="284"/>
        <w:rPr>
          <w:rFonts w:ascii="Tahoma" w:hAnsi="Tahoma" w:cs="Tahoma"/>
          <w:sz w:val="16"/>
          <w:szCs w:val="16"/>
        </w:rPr>
      </w:pPr>
    </w:p>
    <w:p w:rsidR="00A9791F" w:rsidRPr="00904CB5" w:rsidRDefault="006D4AB3" w:rsidP="00904CB5">
      <w:pPr>
        <w:pStyle w:val="Tekstpodstawowywcity3"/>
        <w:spacing w:line="240" w:lineRule="auto"/>
        <w:ind w:firstLine="284"/>
        <w:rPr>
          <w:rFonts w:ascii="Tahoma" w:hAnsi="Tahoma" w:cs="Tahoma"/>
          <w:sz w:val="16"/>
          <w:szCs w:val="16"/>
        </w:rPr>
      </w:pPr>
      <w:r w:rsidRPr="00904CB5">
        <w:rPr>
          <w:rFonts w:ascii="Tahoma" w:hAnsi="Tahoma" w:cs="Tahoma"/>
          <w:sz w:val="16"/>
          <w:szCs w:val="16"/>
        </w:rPr>
        <w:t xml:space="preserve">Uprzejmie informujemy, iż w dniu </w:t>
      </w:r>
      <w:r w:rsidR="000619F0" w:rsidRPr="00904CB5">
        <w:rPr>
          <w:rFonts w:ascii="Tahoma" w:hAnsi="Tahoma" w:cs="Tahoma"/>
          <w:sz w:val="16"/>
          <w:szCs w:val="16"/>
        </w:rPr>
        <w:t>2019-05-08</w:t>
      </w:r>
      <w:r w:rsidRPr="00904CB5">
        <w:rPr>
          <w:rFonts w:ascii="Tahoma" w:hAnsi="Tahoma" w:cs="Tahoma"/>
          <w:sz w:val="16"/>
          <w:szCs w:val="16"/>
        </w:rPr>
        <w:t xml:space="preserve"> do Zamawiającego wpłynęła prośba o wyjaśnienie zapisu specyfikacji istotnych warunków zamówienia, w postępowaniu prowadzonym na podstawie przepisów ustawy z dnia 29 stycznia 2004 roku Prawo Zamówień Publicznych </w:t>
      </w:r>
      <w:r w:rsidR="00EA416E" w:rsidRPr="00904CB5">
        <w:rPr>
          <w:rFonts w:ascii="Tahoma" w:hAnsi="Tahoma" w:cs="Tahoma"/>
          <w:sz w:val="16"/>
          <w:szCs w:val="16"/>
        </w:rPr>
        <w:t>(</w:t>
      </w:r>
      <w:r w:rsidR="000A1097" w:rsidRPr="00904CB5">
        <w:rPr>
          <w:rFonts w:ascii="Tahoma" w:hAnsi="Tahoma" w:cs="Tahoma"/>
          <w:sz w:val="16"/>
          <w:szCs w:val="16"/>
        </w:rPr>
        <w:t>Dz. U. z 2010 r. Nr 113, poz. 759, z późn. zm.</w:t>
      </w:r>
      <w:r w:rsidR="00EA416E" w:rsidRPr="00904CB5">
        <w:rPr>
          <w:rFonts w:ascii="Tahoma" w:hAnsi="Tahoma" w:cs="Tahoma"/>
          <w:sz w:val="16"/>
          <w:szCs w:val="16"/>
        </w:rPr>
        <w:t>)</w:t>
      </w:r>
      <w:r w:rsidRPr="00904CB5">
        <w:rPr>
          <w:rFonts w:ascii="Tahoma" w:hAnsi="Tahoma" w:cs="Tahoma"/>
          <w:sz w:val="16"/>
          <w:szCs w:val="16"/>
        </w:rPr>
        <w:t xml:space="preserve"> w trybie </w:t>
      </w:r>
      <w:r w:rsidR="000619F0" w:rsidRPr="00904CB5">
        <w:rPr>
          <w:rFonts w:ascii="Tahoma" w:hAnsi="Tahoma" w:cs="Tahoma"/>
          <w:b/>
          <w:sz w:val="16"/>
          <w:szCs w:val="16"/>
        </w:rPr>
        <w:t>przetarg nieograniczony</w:t>
      </w:r>
      <w:r w:rsidRPr="00904CB5">
        <w:rPr>
          <w:rFonts w:ascii="Tahoma" w:hAnsi="Tahoma" w:cs="Tahoma"/>
          <w:sz w:val="16"/>
          <w:szCs w:val="16"/>
        </w:rPr>
        <w:t>, na:</w:t>
      </w:r>
      <w:r w:rsidR="00A9791F" w:rsidRPr="00904CB5">
        <w:rPr>
          <w:rFonts w:ascii="Tahoma" w:hAnsi="Tahoma" w:cs="Tahoma"/>
          <w:sz w:val="16"/>
          <w:szCs w:val="16"/>
        </w:rPr>
        <w:t xml:space="preserve"> </w:t>
      </w:r>
      <w:r w:rsidR="000619F0" w:rsidRPr="00904CB5">
        <w:rPr>
          <w:rFonts w:ascii="Tahoma" w:hAnsi="Tahoma" w:cs="Tahoma"/>
          <w:b/>
          <w:sz w:val="16"/>
          <w:szCs w:val="16"/>
        </w:rPr>
        <w:t>Dostawa serwera z osprzętem dla Instytutu Maszyn Cieplnych Politechniki Częstochowskiej</w:t>
      </w:r>
      <w:r w:rsidRPr="00904CB5">
        <w:rPr>
          <w:rFonts w:ascii="Tahoma" w:hAnsi="Tahoma" w:cs="Tahoma"/>
          <w:sz w:val="16"/>
          <w:szCs w:val="16"/>
        </w:rPr>
        <w:t>,</w:t>
      </w:r>
      <w:r w:rsidR="00A9791F" w:rsidRPr="00904CB5">
        <w:rPr>
          <w:rFonts w:ascii="Tahoma" w:hAnsi="Tahoma" w:cs="Tahoma"/>
          <w:sz w:val="16"/>
          <w:szCs w:val="16"/>
        </w:rPr>
        <w:t xml:space="preserve"> spr. nr rej. </w:t>
      </w:r>
      <w:r w:rsidR="000619F0" w:rsidRPr="00904CB5">
        <w:rPr>
          <w:rFonts w:ascii="Tahoma" w:hAnsi="Tahoma" w:cs="Tahoma"/>
          <w:b/>
          <w:sz w:val="16"/>
          <w:szCs w:val="16"/>
        </w:rPr>
        <w:t>ZP/DK-12/19</w:t>
      </w:r>
    </w:p>
    <w:p w:rsidR="006D4AB3" w:rsidRPr="00904CB5" w:rsidRDefault="006D4AB3" w:rsidP="00904CB5">
      <w:pPr>
        <w:pStyle w:val="Tekstpodstawowywcity3"/>
        <w:spacing w:line="240" w:lineRule="auto"/>
        <w:ind w:firstLine="0"/>
        <w:rPr>
          <w:rFonts w:ascii="Tahoma" w:hAnsi="Tahoma" w:cs="Tahoma"/>
          <w:sz w:val="16"/>
          <w:szCs w:val="16"/>
        </w:rPr>
      </w:pPr>
      <w:r w:rsidRPr="00904CB5">
        <w:rPr>
          <w:rFonts w:ascii="Tahoma" w:hAnsi="Tahoma" w:cs="Tahoma"/>
          <w:sz w:val="16"/>
          <w:szCs w:val="16"/>
        </w:rPr>
        <w:t>Treść wspomnianej prośby jest następująca :</w:t>
      </w:r>
    </w:p>
    <w:p w:rsidR="00904CB5" w:rsidRPr="00904CB5" w:rsidRDefault="00904CB5" w:rsidP="00904CB5">
      <w:pPr>
        <w:pStyle w:val="Nagwek21"/>
        <w:keepNext/>
        <w:keepLines/>
        <w:shd w:val="clear" w:color="auto" w:fill="auto"/>
        <w:spacing w:before="0" w:after="0" w:line="240" w:lineRule="auto"/>
        <w:rPr>
          <w:rFonts w:ascii="Tahoma" w:hAnsi="Tahoma" w:cs="Tahoma"/>
          <w:color w:val="000000"/>
          <w:sz w:val="16"/>
          <w:szCs w:val="16"/>
        </w:rPr>
      </w:pPr>
      <w:bookmarkStart w:id="1" w:name="bookmark4"/>
    </w:p>
    <w:p w:rsidR="00904CB5" w:rsidRPr="00904CB5" w:rsidRDefault="00904CB5" w:rsidP="00904CB5">
      <w:pPr>
        <w:numPr>
          <w:ilvl w:val="0"/>
          <w:numId w:val="8"/>
        </w:numPr>
        <w:ind w:left="284" w:hanging="284"/>
        <w:jc w:val="both"/>
        <w:rPr>
          <w:rFonts w:ascii="Tahoma" w:hAnsi="Tahoma" w:cs="Tahoma"/>
          <w:sz w:val="16"/>
          <w:szCs w:val="16"/>
        </w:rPr>
      </w:pPr>
      <w:r w:rsidRPr="00904CB5">
        <w:rPr>
          <w:rFonts w:ascii="Tahoma" w:hAnsi="Tahoma" w:cs="Tahoma"/>
          <w:sz w:val="16"/>
          <w:szCs w:val="16"/>
        </w:rPr>
        <w:t xml:space="preserve">„W szczegółowym opisie przedmiotu zamówienia w ramach wymagań na "Serwer obliczeniowy" Zamawiający wskazał: </w:t>
      </w:r>
      <w:r w:rsidRPr="00904CB5">
        <w:rPr>
          <w:rFonts w:ascii="Tahoma" w:hAnsi="Tahoma" w:cs="Tahoma"/>
          <w:i/>
          <w:sz w:val="16"/>
          <w:szCs w:val="16"/>
        </w:rPr>
        <w:t>[…] Wynik wydajności procesora instalowanego w oferowanym serwerze powinien przekraczać 8450 punktów baseline w SPEC w teście CINT2006 opublikowanych przez SPEC.org (www.spec.org) dla konfiguracji ośmioprocesorowej. […]</w:t>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Czy Zamawiający dopuści urządzenie, którego wynik wydajności procesora instalowanego w oferowanym serwerze będzie przekraczać 900 punktów SPECrate2017_int_base opublikowanych przez SPEC.org (www.spec.org) dla konfiguracji ośmioprocesorowej”</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Zamawiający dopuszcza ocenę wydajności procesora według standardu SPEC2017. Minimalna wydajność to 900 punktów.</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sz w:val="16"/>
          <w:szCs w:val="16"/>
        </w:rPr>
      </w:pPr>
      <w:r w:rsidRPr="00904CB5">
        <w:rPr>
          <w:rFonts w:ascii="Tahoma" w:hAnsi="Tahoma" w:cs="Tahoma"/>
          <w:sz w:val="16"/>
          <w:szCs w:val="16"/>
        </w:rPr>
        <w:t xml:space="preserve">W szczegółowym opisie przedmiotu zamówienia w ramach wymagań na "Serwer obliczeniowy" Zamawiający wskazał: </w:t>
      </w:r>
      <w:r w:rsidRPr="00904CB5">
        <w:rPr>
          <w:rFonts w:ascii="Tahoma" w:hAnsi="Tahoma" w:cs="Tahoma"/>
          <w:i/>
          <w:sz w:val="16"/>
          <w:szCs w:val="16"/>
        </w:rPr>
        <w:t>"Zainstalowane minimum 12 dysków typu SAS min. 7.2K RPM 12Gb/s o pojemności nie mniejszej niż 1800GB każdy."</w:t>
      </w:r>
      <w:r w:rsidRPr="00904CB5">
        <w:rPr>
          <w:rFonts w:ascii="Tahoma" w:hAnsi="Tahoma" w:cs="Tahoma"/>
          <w:sz w:val="16"/>
          <w:szCs w:val="16"/>
        </w:rPr>
        <w:t xml:space="preserve"> </w:t>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Prosimy o doprecyzowanie czy w ramach powyższego Zamawiający wymaga dysków min. 10k RPM 12Gb/s?</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Zamawiający wyjaśnia, że dopuszcza dyski o szybkościach równych lub większych od 7200 RPM i przepustowości 12Gb/s.</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sz w:val="16"/>
          <w:szCs w:val="16"/>
        </w:rPr>
      </w:pPr>
      <w:r w:rsidRPr="00904CB5">
        <w:rPr>
          <w:rFonts w:ascii="Tahoma" w:hAnsi="Tahoma" w:cs="Tahoma"/>
          <w:sz w:val="16"/>
          <w:szCs w:val="16"/>
        </w:rPr>
        <w:t xml:space="preserve">W szczegółowym opisie przedmiotu zamówienia w ramach wymagań na "Serwer obliczeniowy" Zamawiający wskazał: </w:t>
      </w:r>
      <w:bookmarkStart w:id="2" w:name="_Hlk8814298"/>
      <w:r w:rsidRPr="00904CB5">
        <w:rPr>
          <w:rFonts w:ascii="Tahoma" w:hAnsi="Tahoma" w:cs="Tahoma"/>
          <w:i/>
          <w:sz w:val="16"/>
          <w:szCs w:val="16"/>
        </w:rPr>
        <w:t>[…] Możliwość instalacji dysków SED. Możliwość zastosowania w serwerze backplane’u umożliwiającego instalację zarówno dysków SATA/SAS jak i NVMe w tych samych zatokach z tym samym backplane zamiennie. […]</w:t>
      </w:r>
    </w:p>
    <w:bookmarkEnd w:id="2"/>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Jako że zapis ten może wskazywać jednego, wybranego producenta sprzętu serwerowego, bezwzględnie proszę o usunięcie tego wymogu, aby nie ograniczać konkurencyjności.</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Zamawiający zmienia zapis w SIWZ:</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Było:</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 Możliwość instalacji dysków SED. Możliwość zastosowania w serwerze backplane’u umożliwiającego instalację zarówno dysków SATA/SAS jak i NVMe w tych samych zatokach z tym samym backplane zamiennie. […]</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Jest:</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Instalacja w serwerze backplane’u umożliwiającą instalację dysków SATA/SAS lub NVMe zgodnego z zaproponowanym przez Zamawiającego standardem dysków.</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i/>
          <w:sz w:val="16"/>
          <w:szCs w:val="16"/>
        </w:rPr>
      </w:pPr>
      <w:r w:rsidRPr="00904CB5">
        <w:rPr>
          <w:rFonts w:ascii="Tahoma" w:hAnsi="Tahoma" w:cs="Tahoma"/>
          <w:sz w:val="16"/>
          <w:szCs w:val="16"/>
        </w:rPr>
        <w:t xml:space="preserve">W szczegółowym opisie przedmiotu zamówienia w ramach wymagań na "Serwer obliczeniowy" Zamawiający wskazał: </w:t>
      </w:r>
      <w:r w:rsidRPr="00904CB5">
        <w:rPr>
          <w:rFonts w:ascii="Tahoma" w:hAnsi="Tahoma" w:cs="Tahoma"/>
          <w:i/>
          <w:sz w:val="16"/>
          <w:szCs w:val="16"/>
        </w:rPr>
        <w:t>"Minimum cztery redundantne zasilacze o mocy minimum 3000W z wszystkimi niezbędnymi kablami. Zasilacze z certyfikatem minimum EPEAT Platinum."</w:t>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Aby zachować zasady konkurencyjności, zwracam się z uprzejmą prośbą o dopuszczenie serwera, którego zasilacze posiadają certyfikaty Platinum.</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„Zamawiający dopuszcza przedstawienie równoważnego do wymaganego certyfikatu potwierdzającego spełnienie wymogu posiadanie przez zasilacz minimum 90% sprawności przy 100% obciążenia, oraz posiadanie przez zasilacz współczynnika mocy na poziomi 0.90 przy 100% obciążenia”.</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sz w:val="16"/>
          <w:szCs w:val="16"/>
        </w:rPr>
      </w:pPr>
      <w:r w:rsidRPr="00904CB5">
        <w:rPr>
          <w:rFonts w:ascii="Tahoma" w:hAnsi="Tahoma" w:cs="Tahoma"/>
          <w:sz w:val="16"/>
          <w:szCs w:val="16"/>
        </w:rPr>
        <w:t xml:space="preserve">W szczegółowym opisie przedmiotu zamówienia w ramach wymagań na "Serwer obliczeniowy" Zamawiający wskazał: </w:t>
      </w:r>
      <w:r w:rsidRPr="00904CB5">
        <w:rPr>
          <w:rFonts w:ascii="Tahoma" w:hAnsi="Tahoma" w:cs="Tahoma"/>
          <w:i/>
          <w:sz w:val="16"/>
          <w:szCs w:val="16"/>
        </w:rPr>
        <w:t>"Zintegrowane na płycie 4 porty RJ-45 10Gb. Jeden port RJ-45 o przepustowości 1GbE dedykowany dla karty zarządzającej. Wymagane powyżej interfejsy 1Gb oraz 10Gb nie mogą zajmować jakichkolwiek slotów PCI-E wymienionych w punkcie „Dodatkowe sloty I/O” oraz nie mogą być realizowane przez przejściówkę na USB.”</w:t>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Zapis taki, w połączeniu z pozostałymi wymaganiami, może wskazywać jednego, wybranego producenta sprzętu serwerowego, dlatego bezwzględnie proszę o dopuszczenie serwera, który:</w:t>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 będzie posiadał kartę sieciową wyposażoną w 4 porty RJ-45 10Gb, zainstalowaną w jednym ze slotów PCI-E</w:t>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 będzie posiadał jeden port RJ-45 o przepustowości 1GbE dedykowany do zarządzania.</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Tak, Zamawiający dopuszcza możliwość instalacji w serwerze czteroportowej karty sieciowej 4xRJ 45 10Gb zainstalowaną w slocie PCI-E oraz jednego portu o przepustowości 1Gb na płycie głównej serwera.</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sz w:val="16"/>
          <w:szCs w:val="16"/>
        </w:rPr>
      </w:pPr>
      <w:r w:rsidRPr="00904CB5">
        <w:rPr>
          <w:rFonts w:ascii="Tahoma" w:hAnsi="Tahoma" w:cs="Tahoma"/>
          <w:sz w:val="16"/>
          <w:szCs w:val="16"/>
        </w:rPr>
        <w:t xml:space="preserve">W szczegółowym opisie przedmiotu zamówienia w ramach wymagań na "Serwer obliczeniowy" Zamawiający wskazał: </w:t>
      </w:r>
      <w:r w:rsidRPr="00904CB5">
        <w:rPr>
          <w:rFonts w:ascii="Tahoma" w:hAnsi="Tahoma" w:cs="Tahoma"/>
          <w:i/>
          <w:sz w:val="16"/>
          <w:szCs w:val="16"/>
        </w:rPr>
        <w:t>„Dostępne i gotowe do użytku porty PCIe minimum 10 portów minimum 8x. Sloty muszą być dostępne dla użytkownika – tj. niezajęte innymi kartami rozszerzeń."</w:t>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 xml:space="preserve">Jako że zapis ten może wskazywać jednego, wybranego producenta sprzętu serwerowego, bezwzględnie proszę o zmianę tego wymogu na proponowany: </w:t>
      </w:r>
      <w:r w:rsidRPr="00904CB5">
        <w:rPr>
          <w:rFonts w:ascii="Tahoma" w:hAnsi="Tahoma" w:cs="Tahoma"/>
          <w:i/>
          <w:sz w:val="16"/>
          <w:szCs w:val="16"/>
        </w:rPr>
        <w:t>"Dostępne i gotowe do użytku porty PCIe minimum 8 portów minimum 8x. Sloty muszą być dostępne dla użytkownika – tj. niezajęte innymi kartami rozszerzeń."</w:t>
      </w:r>
      <w:r w:rsidRPr="00904CB5">
        <w:rPr>
          <w:rFonts w:ascii="Tahoma" w:hAnsi="Tahoma" w:cs="Tahoma"/>
          <w:sz w:val="16"/>
          <w:szCs w:val="16"/>
        </w:rPr>
        <w:t xml:space="preserve"> z uwzględnieniem że brane są pod uwagę te same </w:t>
      </w:r>
      <w:r w:rsidRPr="00904CB5">
        <w:rPr>
          <w:rFonts w:ascii="Tahoma" w:hAnsi="Tahoma" w:cs="Tahoma"/>
          <w:sz w:val="16"/>
          <w:szCs w:val="16"/>
        </w:rPr>
        <w:lastRenderedPageBreak/>
        <w:t>sloty PCIe o których mowa w ramach wymagań w części "Płyta główna" (tj. Sumarycznie w serwerze należy zapewnić minimum 8 slotów minimum 8x).</w:t>
      </w:r>
    </w:p>
    <w:p w:rsidR="00904CB5" w:rsidRPr="00904CB5" w:rsidRDefault="00904CB5" w:rsidP="00904CB5">
      <w:pPr>
        <w:ind w:left="284" w:hanging="284"/>
        <w:jc w:val="both"/>
        <w:rPr>
          <w:rFonts w:ascii="Tahoma" w:hAnsi="Tahoma" w:cs="Tahoma"/>
          <w:sz w:val="16"/>
          <w:szCs w:val="16"/>
        </w:rPr>
      </w:pPr>
      <w:r w:rsidRPr="00904CB5">
        <w:rPr>
          <w:rFonts w:ascii="Tahoma" w:hAnsi="Tahoma" w:cs="Tahoma"/>
          <w:color w:val="548DD4"/>
          <w:sz w:val="16"/>
          <w:szCs w:val="16"/>
        </w:rPr>
        <w:t>Odp.: Tak, Zamawiający</w:t>
      </w:r>
      <w:r w:rsidRPr="00904CB5">
        <w:rPr>
          <w:rFonts w:ascii="Tahoma" w:hAnsi="Tahoma" w:cs="Tahoma"/>
          <w:sz w:val="16"/>
          <w:szCs w:val="16"/>
        </w:rPr>
        <w:t xml:space="preserve"> </w:t>
      </w:r>
      <w:r w:rsidRPr="00904CB5">
        <w:rPr>
          <w:rFonts w:ascii="Tahoma" w:hAnsi="Tahoma" w:cs="Tahoma"/>
          <w:color w:val="548DD4"/>
          <w:sz w:val="16"/>
          <w:szCs w:val="16"/>
        </w:rPr>
        <w:t>dopuszcza konfigurację 8 portów PCIE minimum 8x z zastrzeżeniem, że porty muszą być dostępne dla użytkownika - tj. niezajęte innymi kartami rozszerzeń.</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sz w:val="16"/>
          <w:szCs w:val="16"/>
        </w:rPr>
      </w:pPr>
      <w:r w:rsidRPr="00904CB5">
        <w:rPr>
          <w:rFonts w:ascii="Tahoma" w:hAnsi="Tahoma" w:cs="Tahoma"/>
          <w:sz w:val="16"/>
          <w:szCs w:val="16"/>
        </w:rPr>
        <w:t xml:space="preserve">W szczegółowym opisie przedmiotu zamówienia w ramach wymagań na "Serwer obliczeniowy" Zamawiający wskazał: </w:t>
      </w:r>
      <w:r w:rsidRPr="00904CB5">
        <w:rPr>
          <w:rFonts w:ascii="Tahoma" w:hAnsi="Tahoma" w:cs="Tahoma"/>
          <w:i/>
          <w:sz w:val="16"/>
          <w:szCs w:val="16"/>
        </w:rPr>
        <w:t>"Możliwość instalacji serwera oraz wymiany procesora, radiatora oraz tzw. Backplane’y dysków twardych do celów serwisowych bez użycia dodatkowych narzędzi mechanicznych.".</w:t>
      </w:r>
      <w:r w:rsidRPr="00904CB5">
        <w:rPr>
          <w:rFonts w:ascii="Tahoma" w:hAnsi="Tahoma" w:cs="Tahoma"/>
          <w:sz w:val="16"/>
          <w:szCs w:val="16"/>
        </w:rPr>
        <w:tab/>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 xml:space="preserve">Proszę o dopuszczenie rozwiązania, które będzie spełniało powyższy wymóg z pominięciem zapisu </w:t>
      </w:r>
      <w:r w:rsidRPr="00904CB5">
        <w:rPr>
          <w:rFonts w:ascii="Tahoma" w:hAnsi="Tahoma" w:cs="Tahoma"/>
          <w:i/>
          <w:sz w:val="16"/>
          <w:szCs w:val="16"/>
        </w:rPr>
        <w:t>„bez użycia dodatkowych narzędzi mechanicznych”.</w:t>
      </w:r>
      <w:r w:rsidRPr="00904CB5">
        <w:rPr>
          <w:rFonts w:ascii="Tahoma" w:hAnsi="Tahoma" w:cs="Tahoma"/>
          <w:sz w:val="16"/>
          <w:szCs w:val="16"/>
        </w:rPr>
        <w:t xml:space="preserve"> Obecny zapis nie wpływa na funkcjonalność urządzenia, jednak znacząco podnosi koszty oferowanego urządzenia.</w:t>
      </w:r>
    </w:p>
    <w:p w:rsidR="00904CB5" w:rsidRPr="00904CB5" w:rsidRDefault="00904CB5" w:rsidP="00904CB5">
      <w:pPr>
        <w:ind w:left="284" w:hanging="284"/>
        <w:jc w:val="both"/>
        <w:rPr>
          <w:rFonts w:ascii="Tahoma" w:hAnsi="Tahoma" w:cs="Tahoma"/>
          <w:sz w:val="16"/>
          <w:szCs w:val="16"/>
        </w:rPr>
      </w:pPr>
      <w:bookmarkStart w:id="3" w:name="_Hlk8814552"/>
      <w:r w:rsidRPr="00904CB5">
        <w:rPr>
          <w:rFonts w:ascii="Tahoma" w:hAnsi="Tahoma" w:cs="Tahoma"/>
          <w:color w:val="548DD4"/>
          <w:sz w:val="16"/>
          <w:szCs w:val="16"/>
        </w:rPr>
        <w:t>Odp.: Zamawiający zmienia SIWZ poprzez usunięcie zapisu „bez użycia dodatkowych narzędzi mechanicznych”.</w:t>
      </w:r>
    </w:p>
    <w:bookmarkEnd w:id="3"/>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sz w:val="16"/>
          <w:szCs w:val="16"/>
        </w:rPr>
      </w:pPr>
      <w:r w:rsidRPr="00904CB5">
        <w:rPr>
          <w:rFonts w:ascii="Tahoma" w:hAnsi="Tahoma" w:cs="Tahoma"/>
          <w:sz w:val="16"/>
          <w:szCs w:val="16"/>
        </w:rPr>
        <w:t>W szczegółowym opisie przedmiotu zamówienia w ramach wymagań na "Serwer obliczeniowy" Zamawiający wskazał: "Możliwość przewidywania awarii dla procesorów, regulatorów napięcia, pamięci, dysków wewnętrznych, wentylatorów, zasilaczy, kontrolerów RAID. Możliwość użycia aplikacji mobilnej na telefonie, do przeglądania awarii, konfiguracji i włączenia/wyłączenia serwera. Panel diagnostyczny LCD dostępny z przodu serwera."</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ind w:left="284" w:hanging="284"/>
        <w:jc w:val="both"/>
        <w:rPr>
          <w:rFonts w:ascii="Tahoma" w:hAnsi="Tahoma" w:cs="Tahoma"/>
          <w:i/>
          <w:sz w:val="16"/>
          <w:szCs w:val="16"/>
        </w:rPr>
      </w:pPr>
      <w:r w:rsidRPr="00904CB5">
        <w:rPr>
          <w:rFonts w:ascii="Tahoma" w:hAnsi="Tahoma" w:cs="Tahoma"/>
          <w:sz w:val="16"/>
          <w:szCs w:val="16"/>
        </w:rPr>
        <w:t>Jako że zapis ten w sposób bezpośredni wskazuje jednego, wybranego producenta sprzętu serwerowego (Dell), bezwzględnie proszę o zmianę tego wymogu, pozostawiając zapis: „</w:t>
      </w:r>
      <w:r w:rsidRPr="00904CB5">
        <w:rPr>
          <w:rFonts w:ascii="Tahoma" w:hAnsi="Tahoma" w:cs="Tahoma"/>
          <w:i/>
          <w:sz w:val="16"/>
          <w:szCs w:val="16"/>
        </w:rPr>
        <w:t>Możliwość przewidywania awarii dla procesorów, pamięci, dysków wewnętrznych. Panel diagnostyczny LCD dostępny z przodu obudowy serwera."</w:t>
      </w:r>
    </w:p>
    <w:p w:rsidR="00904CB5" w:rsidRPr="00904CB5" w:rsidRDefault="00E85269" w:rsidP="00904CB5">
      <w:pPr>
        <w:ind w:left="284" w:hanging="284"/>
        <w:jc w:val="both"/>
        <w:rPr>
          <w:rFonts w:ascii="Tahoma" w:hAnsi="Tahoma" w:cs="Tahoma"/>
          <w:sz w:val="16"/>
          <w:szCs w:val="16"/>
        </w:rPr>
      </w:pPr>
      <w:r>
        <w:rPr>
          <w:rFonts w:ascii="Tahoma" w:hAnsi="Tahoma" w:cs="Tahoma"/>
          <w:color w:val="548DD4"/>
          <w:sz w:val="16"/>
          <w:szCs w:val="16"/>
        </w:rPr>
        <w:t xml:space="preserve">Odp.: Zamawiający zmienia SIWZ: </w:t>
      </w:r>
      <w:r w:rsidR="00904CB5" w:rsidRPr="00904CB5">
        <w:rPr>
          <w:rFonts w:ascii="Tahoma" w:hAnsi="Tahoma" w:cs="Tahoma"/>
          <w:color w:val="548DD4"/>
          <w:sz w:val="16"/>
          <w:szCs w:val="16"/>
        </w:rPr>
        <w:t>„Możliwość przewidywania awarii dla procesorów, pamięci, dysków wewnętrznych. Panel diagnostyczny LCD dostępny z przodu obudowy serwera.".</w:t>
      </w:r>
    </w:p>
    <w:p w:rsidR="00904CB5" w:rsidRPr="00904CB5" w:rsidRDefault="00904CB5" w:rsidP="00904CB5">
      <w:pPr>
        <w:ind w:left="284" w:hanging="284"/>
        <w:jc w:val="both"/>
        <w:rPr>
          <w:rFonts w:ascii="Tahoma" w:hAnsi="Tahoma" w:cs="Tahoma"/>
          <w:i/>
          <w:sz w:val="16"/>
          <w:szCs w:val="16"/>
        </w:rPr>
      </w:pPr>
    </w:p>
    <w:p w:rsidR="00904CB5" w:rsidRPr="00904CB5" w:rsidRDefault="00904CB5" w:rsidP="00904CB5">
      <w:pPr>
        <w:numPr>
          <w:ilvl w:val="0"/>
          <w:numId w:val="8"/>
        </w:numPr>
        <w:ind w:left="284" w:hanging="284"/>
        <w:jc w:val="both"/>
        <w:rPr>
          <w:rFonts w:ascii="Tahoma" w:hAnsi="Tahoma" w:cs="Tahoma"/>
          <w:i/>
          <w:sz w:val="16"/>
          <w:szCs w:val="16"/>
        </w:rPr>
      </w:pPr>
      <w:r w:rsidRPr="00904CB5">
        <w:rPr>
          <w:rFonts w:ascii="Tahoma" w:hAnsi="Tahoma" w:cs="Tahoma"/>
          <w:sz w:val="16"/>
          <w:szCs w:val="16"/>
        </w:rPr>
        <w:t>W szczegółowym opisie przedmiotu zamówienia w ramach wymagań na "Serwer obliczeniowy" Zamawiający wskazał</w:t>
      </w:r>
      <w:r w:rsidRPr="00904CB5">
        <w:rPr>
          <w:rFonts w:ascii="Tahoma" w:hAnsi="Tahoma" w:cs="Tahoma"/>
          <w:i/>
          <w:sz w:val="16"/>
          <w:szCs w:val="16"/>
        </w:rPr>
        <w:t>: "Zamawiający wymaga aby zaoferowany serwer posiadał certyfikat zgodności z oprogramowaniem Unix/Linux w wersjach SLES 11 do 15, Ubuntu Server wersja min. 16.04, RedHat."</w:t>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 xml:space="preserve">Jako że zapis ten w sposób bezpośredni wskazuje jednego, wybranego producenta sprzętu serwerowego, bezwzględnie proszę o zmianę tego wymogu, pozostawiając zapis: </w:t>
      </w:r>
      <w:r w:rsidRPr="00904CB5">
        <w:rPr>
          <w:rFonts w:ascii="Tahoma" w:hAnsi="Tahoma" w:cs="Tahoma"/>
          <w:i/>
          <w:sz w:val="16"/>
          <w:szCs w:val="16"/>
        </w:rPr>
        <w:t>Zamawiający wymaga aby zaoferowany serwer posiadał zgodność z oprogramowaniem Unix/Linux w wersjach SLES 11 do 15, RedHat.</w:t>
      </w:r>
      <w:r w:rsidRPr="00904CB5">
        <w:rPr>
          <w:rFonts w:ascii="Tahoma" w:hAnsi="Tahoma" w:cs="Tahoma"/>
          <w:sz w:val="16"/>
          <w:szCs w:val="16"/>
        </w:rPr>
        <w:t xml:space="preserve"> </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Zamawiający dopuszcza obecność certyfikatu zgodności z systemami SLES 11 do 15 oraz RedHat. Jednoznacznie oznacza to, że nie wymagany jest certyfikat zgodności z systemem Ubuntu Server. Zamawiający wymaga jedynie aby zaoferowany serwer posiadał certyfikat zgodności z oprogramowaniem SuSE Linux Enterprise Server. Zamawiający odniósł się do powyższego pytania pismem RK-233/19 z dnia 07.05.2019r. stanowiącym załącznik do SIWZ.</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sz w:val="16"/>
          <w:szCs w:val="16"/>
        </w:rPr>
      </w:pPr>
      <w:r w:rsidRPr="00904CB5">
        <w:rPr>
          <w:rFonts w:ascii="Tahoma" w:hAnsi="Tahoma" w:cs="Tahoma"/>
          <w:sz w:val="16"/>
          <w:szCs w:val="16"/>
        </w:rPr>
        <w:t xml:space="preserve">W szczegółowym opisie przedmiotu zamówienia w ramach wymagań na "Serwer obliczeniowy" Zamawiający wskazał: </w:t>
      </w:r>
      <w:r w:rsidRPr="00904CB5">
        <w:rPr>
          <w:rFonts w:ascii="Tahoma" w:hAnsi="Tahoma" w:cs="Tahoma"/>
          <w:i/>
          <w:sz w:val="16"/>
          <w:szCs w:val="16"/>
        </w:rPr>
        <w:t>"maximum: 80 kg".</w:t>
      </w:r>
      <w:r w:rsidRPr="00904CB5">
        <w:rPr>
          <w:rFonts w:ascii="Tahoma" w:hAnsi="Tahoma" w:cs="Tahoma"/>
          <w:sz w:val="16"/>
          <w:szCs w:val="16"/>
        </w:rPr>
        <w:t xml:space="preserve"> </w:t>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Aby zachować zasady konkurencyjności, zwracam się z uprzejmą prośbą o dopuszczenie serwera, którego waga nie przekracza 150kg.</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 xml:space="preserve">Odp.: Ze względu na ograniczenia posiadanej przez Zamawiającego infrastruktury systemowej (pomieszczenie, nośność podłogi i stelaży oraz aktualnie zainstalowane klastry obliczeniowe) waga serwera nie może przekroczyć 100 kg. Zamawiający zmienia SIWZ poprzez dopuszczenie serwera o maksymalnej wadze 100 kg. </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i/>
          <w:sz w:val="16"/>
          <w:szCs w:val="16"/>
        </w:rPr>
      </w:pPr>
      <w:r w:rsidRPr="00904CB5">
        <w:rPr>
          <w:rFonts w:ascii="Tahoma" w:hAnsi="Tahoma" w:cs="Tahoma"/>
          <w:sz w:val="16"/>
          <w:szCs w:val="16"/>
        </w:rPr>
        <w:t xml:space="preserve">W szczegółowym opisie przedmiotu zamówienia w ramach wymagań na "Serwer obliczeniowy" Zamawiający wskazał: </w:t>
      </w:r>
      <w:r w:rsidRPr="00904CB5">
        <w:rPr>
          <w:rFonts w:ascii="Tahoma" w:hAnsi="Tahoma" w:cs="Tahoma"/>
          <w:i/>
          <w:sz w:val="16"/>
          <w:szCs w:val="16"/>
        </w:rPr>
        <w:t>"W przypadku braku funkcjonalności przewidywania awarii dla wszystkich komponentów wymienionych w punkcie Karty zdalnego zarządzania  (tj. procesor, pamięć, VRM, dyski, zasilacze,  wentylatory) wymagane jest rozszerzenie poziomu gwarancji do 36 miesięcy 7/24 fix 4h oraz zainstalowania dodatkowego dla każdej lokalizacji systemu monitoringu (na dedykowanym serwerze o parametrach rekomendowanych przez producenta oprogramowania monitorującego)."</w:t>
      </w: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Aby zachować zasady konkurencyjności, zwracam się z uprzejmą prośbą o usunięcie zapisu instalacji dodatkowego systemu monitoringu. Według najlepszej wiedzy Oferenta, zapis taki w sposób drastyczny podnosi koszty takiego rozwiązania.</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Zamawiający podtrzymuje wymóg zainstalowania dodatkowego systemu monitoringu</w:t>
      </w:r>
      <w:r w:rsidR="00E85269" w:rsidRPr="00E85269">
        <w:rPr>
          <w:rFonts w:ascii="Tahoma" w:hAnsi="Tahoma" w:cs="Tahoma"/>
          <w:color w:val="548DD4"/>
          <w:sz w:val="16"/>
          <w:szCs w:val="16"/>
        </w:rPr>
        <w:t xml:space="preserve"> </w:t>
      </w:r>
      <w:r w:rsidR="00E85269" w:rsidRPr="00904CB5">
        <w:rPr>
          <w:rFonts w:ascii="Tahoma" w:hAnsi="Tahoma" w:cs="Tahoma"/>
          <w:color w:val="548DD4"/>
          <w:sz w:val="16"/>
          <w:szCs w:val="16"/>
        </w:rPr>
        <w:t>dla każdej lokalizacji</w:t>
      </w:r>
      <w:r w:rsidRPr="00904CB5">
        <w:rPr>
          <w:rFonts w:ascii="Tahoma" w:hAnsi="Tahoma" w:cs="Tahoma"/>
          <w:color w:val="548DD4"/>
          <w:sz w:val="16"/>
          <w:szCs w:val="16"/>
        </w:rPr>
        <w:t>.</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sz w:val="16"/>
          <w:szCs w:val="16"/>
        </w:rPr>
      </w:pPr>
      <w:r w:rsidRPr="00904CB5">
        <w:rPr>
          <w:rFonts w:ascii="Tahoma" w:hAnsi="Tahoma" w:cs="Tahoma"/>
          <w:sz w:val="16"/>
          <w:szCs w:val="16"/>
        </w:rPr>
        <w:t xml:space="preserve">W szczegółowym opisie przedmiotu zamówienia w ramach wymagań na "Serwer obliczeniowy" Zamawiający wskazał: </w:t>
      </w:r>
      <w:r w:rsidRPr="00904CB5">
        <w:rPr>
          <w:rFonts w:ascii="Tahoma" w:hAnsi="Tahoma" w:cs="Tahoma"/>
          <w:i/>
          <w:sz w:val="16"/>
          <w:szCs w:val="16"/>
        </w:rPr>
        <w:t>"Serwer musi być kompatybilny z Ubuntu, SUSE oraz RHEL."</w:t>
      </w:r>
    </w:p>
    <w:p w:rsidR="00904CB5" w:rsidRPr="00904CB5" w:rsidRDefault="00904CB5" w:rsidP="00904CB5">
      <w:pPr>
        <w:ind w:left="284" w:hanging="284"/>
        <w:jc w:val="both"/>
        <w:rPr>
          <w:rFonts w:ascii="Tahoma" w:hAnsi="Tahoma" w:cs="Tahoma"/>
          <w:i/>
          <w:sz w:val="16"/>
          <w:szCs w:val="16"/>
        </w:rPr>
      </w:pPr>
      <w:r w:rsidRPr="00904CB5">
        <w:rPr>
          <w:rFonts w:ascii="Tahoma" w:hAnsi="Tahoma" w:cs="Tahoma"/>
          <w:sz w:val="16"/>
          <w:szCs w:val="16"/>
        </w:rPr>
        <w:t xml:space="preserve">Proszę o dopuszczenie rozwiązania, który będzie spełniał zapis: </w:t>
      </w:r>
      <w:r w:rsidRPr="00904CB5">
        <w:rPr>
          <w:rFonts w:ascii="Tahoma" w:hAnsi="Tahoma" w:cs="Tahoma"/>
          <w:i/>
          <w:sz w:val="16"/>
          <w:szCs w:val="16"/>
        </w:rPr>
        <w:t>"Serwer musi być kompatybilny z SUSE oraz RHEL."</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Zamawiający dopuszcza obecność certyfikatu zgodności z systemami SLES 11 do 15 oraz RedHat. Jednoznacznie oznacza to, że nie wymagany jest certyfikat zgodności z systemem Ubuntu Server. Zamawiający wymaga jedynie aby zaoferowany serwer posiadał certyfikat zgodności z oprogramowaniem SuSE Linux Enterprise Server oraz RedHat. Zamawiający odniósł się do powyższego pytania pismem RK-233/19 z dnia 07.05.2019r. stanowiącym załącznik do SIWZ.</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numPr>
          <w:ilvl w:val="0"/>
          <w:numId w:val="8"/>
        </w:numPr>
        <w:ind w:left="284" w:hanging="284"/>
        <w:jc w:val="both"/>
        <w:rPr>
          <w:rFonts w:ascii="Tahoma" w:hAnsi="Tahoma" w:cs="Tahoma"/>
          <w:sz w:val="16"/>
          <w:szCs w:val="16"/>
        </w:rPr>
      </w:pPr>
      <w:r w:rsidRPr="00904CB5">
        <w:rPr>
          <w:rFonts w:ascii="Tahoma" w:hAnsi="Tahoma" w:cs="Tahoma"/>
          <w:sz w:val="16"/>
          <w:szCs w:val="16"/>
        </w:rPr>
        <w:t xml:space="preserve">W szczegółowym opisie przedmiotu zamówienia w ramach wymagań na "Serwer obliczeniowy" Zamawiający wskazał:   </w:t>
      </w:r>
    </w:p>
    <w:p w:rsidR="00904CB5" w:rsidRPr="00904CB5" w:rsidRDefault="00904CB5" w:rsidP="00904CB5">
      <w:pPr>
        <w:numPr>
          <w:ilvl w:val="1"/>
          <w:numId w:val="8"/>
        </w:numPr>
        <w:ind w:left="284" w:hanging="284"/>
        <w:jc w:val="both"/>
        <w:rPr>
          <w:rFonts w:ascii="Tahoma" w:hAnsi="Tahoma" w:cs="Tahoma"/>
          <w:i/>
          <w:sz w:val="16"/>
          <w:szCs w:val="16"/>
        </w:rPr>
      </w:pPr>
      <w:r w:rsidRPr="00904CB5">
        <w:rPr>
          <w:rFonts w:ascii="Tahoma" w:hAnsi="Tahoma" w:cs="Tahoma"/>
          <w:i/>
          <w:sz w:val="16"/>
          <w:szCs w:val="16"/>
        </w:rPr>
        <w:t>Przekierowanie kosnoli szeregowej przez IPMI</w:t>
      </w:r>
    </w:p>
    <w:p w:rsidR="00904CB5" w:rsidRPr="00904CB5" w:rsidRDefault="00904CB5" w:rsidP="00904CB5">
      <w:pPr>
        <w:numPr>
          <w:ilvl w:val="1"/>
          <w:numId w:val="8"/>
        </w:numPr>
        <w:ind w:left="284" w:hanging="284"/>
        <w:jc w:val="both"/>
        <w:rPr>
          <w:rFonts w:ascii="Tahoma" w:hAnsi="Tahoma" w:cs="Tahoma"/>
          <w:i/>
          <w:sz w:val="16"/>
          <w:szCs w:val="16"/>
        </w:rPr>
      </w:pPr>
      <w:r w:rsidRPr="00904CB5">
        <w:rPr>
          <w:rFonts w:ascii="Tahoma" w:hAnsi="Tahoma" w:cs="Tahoma"/>
          <w:i/>
          <w:sz w:val="16"/>
          <w:szCs w:val="16"/>
        </w:rPr>
        <w:t>Zrzut ekranu w momencie zawieszenia system</w:t>
      </w:r>
    </w:p>
    <w:p w:rsidR="00904CB5" w:rsidRPr="00904CB5" w:rsidRDefault="00904CB5" w:rsidP="00904CB5">
      <w:pPr>
        <w:numPr>
          <w:ilvl w:val="1"/>
          <w:numId w:val="8"/>
        </w:numPr>
        <w:ind w:left="284" w:hanging="284"/>
        <w:jc w:val="both"/>
        <w:rPr>
          <w:rFonts w:ascii="Tahoma" w:hAnsi="Tahoma" w:cs="Tahoma"/>
          <w:i/>
          <w:sz w:val="16"/>
          <w:szCs w:val="16"/>
        </w:rPr>
      </w:pPr>
      <w:r w:rsidRPr="00904CB5">
        <w:rPr>
          <w:rFonts w:ascii="Tahoma" w:hAnsi="Tahoma" w:cs="Tahoma"/>
          <w:i/>
          <w:sz w:val="16"/>
          <w:szCs w:val="16"/>
        </w:rPr>
        <w:t>Możliwość przejęcia zdalnego ekranu 1920x1200, 60 Hz,16 bpp</w:t>
      </w:r>
    </w:p>
    <w:p w:rsidR="00904CB5" w:rsidRPr="00904CB5" w:rsidRDefault="00904CB5" w:rsidP="00904CB5">
      <w:pPr>
        <w:numPr>
          <w:ilvl w:val="1"/>
          <w:numId w:val="8"/>
        </w:numPr>
        <w:ind w:left="284" w:hanging="284"/>
        <w:jc w:val="both"/>
        <w:rPr>
          <w:rFonts w:ascii="Tahoma" w:hAnsi="Tahoma" w:cs="Tahoma"/>
          <w:i/>
          <w:sz w:val="16"/>
          <w:szCs w:val="16"/>
        </w:rPr>
      </w:pPr>
      <w:r w:rsidRPr="00904CB5">
        <w:rPr>
          <w:rFonts w:ascii="Tahoma" w:hAnsi="Tahoma" w:cs="Tahoma"/>
          <w:i/>
          <w:sz w:val="16"/>
          <w:szCs w:val="16"/>
        </w:rPr>
        <w:t>Przekierowanie konsoli szeregowej przez SSH</w:t>
      </w:r>
    </w:p>
    <w:p w:rsidR="00904CB5" w:rsidRPr="00904CB5" w:rsidRDefault="00904CB5" w:rsidP="00904CB5">
      <w:pPr>
        <w:numPr>
          <w:ilvl w:val="1"/>
          <w:numId w:val="8"/>
        </w:numPr>
        <w:ind w:left="284" w:hanging="284"/>
        <w:jc w:val="both"/>
        <w:rPr>
          <w:rFonts w:ascii="Tahoma" w:hAnsi="Tahoma" w:cs="Tahoma"/>
          <w:i/>
          <w:sz w:val="16"/>
          <w:szCs w:val="16"/>
        </w:rPr>
      </w:pPr>
      <w:r w:rsidRPr="00904CB5">
        <w:rPr>
          <w:rFonts w:ascii="Tahoma" w:hAnsi="Tahoma" w:cs="Tahoma"/>
          <w:i/>
          <w:sz w:val="16"/>
          <w:szCs w:val="16"/>
        </w:rPr>
        <w:t xml:space="preserve">Wyświetlanie danych aktualnych I historycznych dla użycia energii I temperatury serwera </w:t>
      </w:r>
    </w:p>
    <w:p w:rsidR="00904CB5" w:rsidRPr="00904CB5" w:rsidRDefault="00904CB5" w:rsidP="00904CB5">
      <w:pPr>
        <w:numPr>
          <w:ilvl w:val="1"/>
          <w:numId w:val="8"/>
        </w:numPr>
        <w:ind w:left="284" w:hanging="284"/>
        <w:jc w:val="both"/>
        <w:rPr>
          <w:rFonts w:ascii="Tahoma" w:hAnsi="Tahoma" w:cs="Tahoma"/>
          <w:i/>
          <w:sz w:val="16"/>
          <w:szCs w:val="16"/>
        </w:rPr>
      </w:pPr>
      <w:r w:rsidRPr="00904CB5">
        <w:rPr>
          <w:rFonts w:ascii="Tahoma" w:hAnsi="Tahoma" w:cs="Tahoma"/>
          <w:i/>
          <w:sz w:val="16"/>
          <w:szCs w:val="16"/>
        </w:rPr>
        <w:t>Możliwość mapowania obrazów ISO przez HTTPS, SFTP, CIFS oraz NFS</w:t>
      </w:r>
    </w:p>
    <w:p w:rsidR="00904CB5" w:rsidRPr="00904CB5" w:rsidRDefault="00904CB5" w:rsidP="00904CB5">
      <w:pPr>
        <w:numPr>
          <w:ilvl w:val="1"/>
          <w:numId w:val="8"/>
        </w:numPr>
        <w:ind w:left="284" w:hanging="284"/>
        <w:jc w:val="both"/>
        <w:rPr>
          <w:rFonts w:ascii="Tahoma" w:hAnsi="Tahoma" w:cs="Tahoma"/>
          <w:i/>
          <w:sz w:val="16"/>
          <w:szCs w:val="16"/>
        </w:rPr>
      </w:pPr>
      <w:r w:rsidRPr="00904CB5">
        <w:rPr>
          <w:rFonts w:ascii="Tahoma" w:hAnsi="Tahoma" w:cs="Tahoma"/>
          <w:i/>
          <w:sz w:val="16"/>
          <w:szCs w:val="16"/>
        </w:rPr>
        <w:t>Możliwość jednoczesnej pracy minimum 5 użytkowników przez wirtualną konsolę</w:t>
      </w:r>
    </w:p>
    <w:p w:rsidR="00904CB5" w:rsidRPr="00904CB5" w:rsidRDefault="00904CB5" w:rsidP="00904CB5">
      <w:pPr>
        <w:numPr>
          <w:ilvl w:val="0"/>
          <w:numId w:val="9"/>
        </w:numPr>
        <w:ind w:left="284" w:hanging="284"/>
        <w:jc w:val="both"/>
        <w:rPr>
          <w:rFonts w:ascii="Tahoma" w:hAnsi="Tahoma" w:cs="Tahoma"/>
          <w:i/>
          <w:sz w:val="16"/>
          <w:szCs w:val="16"/>
        </w:rPr>
      </w:pPr>
      <w:r w:rsidRPr="00904CB5">
        <w:rPr>
          <w:rFonts w:ascii="Tahoma" w:hAnsi="Tahoma" w:cs="Tahoma"/>
          <w:i/>
          <w:sz w:val="16"/>
          <w:szCs w:val="16"/>
        </w:rPr>
        <w:t>Wspierane protokoły/interfejsy: IPMI v2.0, SNMP v3, CIM, DCMI v1.5, REST API</w:t>
      </w:r>
    </w:p>
    <w:p w:rsidR="00904CB5" w:rsidRPr="00904CB5" w:rsidRDefault="00904CB5" w:rsidP="00904CB5">
      <w:pPr>
        <w:numPr>
          <w:ilvl w:val="0"/>
          <w:numId w:val="9"/>
        </w:numPr>
        <w:ind w:left="284" w:hanging="284"/>
        <w:jc w:val="both"/>
        <w:rPr>
          <w:rFonts w:ascii="Tahoma" w:hAnsi="Tahoma" w:cs="Tahoma"/>
          <w:i/>
          <w:sz w:val="16"/>
          <w:szCs w:val="16"/>
        </w:rPr>
      </w:pPr>
      <w:r w:rsidRPr="00904CB5">
        <w:rPr>
          <w:rFonts w:ascii="Tahoma" w:hAnsi="Tahoma" w:cs="Tahoma"/>
          <w:i/>
          <w:sz w:val="16"/>
          <w:szCs w:val="16"/>
        </w:rPr>
        <w:t>Możliwość przełączenia frontowego portu USB w taki sposób, aby ten port służył serwisantowi (był podłączony do karty zarządzającej) bez możliwości uzyskania jakiejkolwiek funkcjonalności na poziomie zainstalowanego systemu operacyjnego. Funkcjonalność ta musi być realizowana na poziomie sprzętowym i musi być niezależna od zainstalowanego systemu operacyjnego."</w:t>
      </w:r>
    </w:p>
    <w:p w:rsidR="00904CB5" w:rsidRPr="00904CB5" w:rsidRDefault="00904CB5" w:rsidP="00904CB5">
      <w:pPr>
        <w:ind w:left="284" w:hanging="284"/>
        <w:jc w:val="both"/>
        <w:rPr>
          <w:rFonts w:ascii="Tahoma" w:hAnsi="Tahoma" w:cs="Tahoma"/>
          <w:sz w:val="16"/>
          <w:szCs w:val="16"/>
        </w:rPr>
      </w:pPr>
    </w:p>
    <w:p w:rsidR="00904CB5" w:rsidRPr="00904CB5" w:rsidRDefault="00904CB5" w:rsidP="00904CB5">
      <w:pPr>
        <w:ind w:left="284" w:hanging="284"/>
        <w:jc w:val="both"/>
        <w:rPr>
          <w:rFonts w:ascii="Tahoma" w:hAnsi="Tahoma" w:cs="Tahoma"/>
          <w:sz w:val="16"/>
          <w:szCs w:val="16"/>
        </w:rPr>
      </w:pPr>
      <w:r w:rsidRPr="00904CB5">
        <w:rPr>
          <w:rFonts w:ascii="Tahoma" w:hAnsi="Tahoma" w:cs="Tahoma"/>
          <w:sz w:val="16"/>
          <w:szCs w:val="16"/>
        </w:rPr>
        <w:t>Zapis taki, w połączeniu z pozostałymi wymaganiami, może wskazywać jednego, wybranego producenta sprzętu serwerowego, dlatego bezwzględnie proszę o usunięcie lub zmianę powyższych zapisów pozostawiając:</w:t>
      </w:r>
    </w:p>
    <w:p w:rsidR="00904CB5" w:rsidRPr="00904CB5" w:rsidRDefault="00904CB5" w:rsidP="00904CB5">
      <w:pPr>
        <w:numPr>
          <w:ilvl w:val="1"/>
          <w:numId w:val="8"/>
        </w:numPr>
        <w:ind w:left="284" w:hanging="284"/>
        <w:jc w:val="both"/>
        <w:rPr>
          <w:rFonts w:ascii="Tahoma" w:hAnsi="Tahoma" w:cs="Tahoma"/>
          <w:sz w:val="16"/>
          <w:szCs w:val="16"/>
        </w:rPr>
      </w:pPr>
      <w:r w:rsidRPr="00904CB5">
        <w:rPr>
          <w:rFonts w:ascii="Tahoma" w:hAnsi="Tahoma" w:cs="Tahoma"/>
          <w:sz w:val="16"/>
          <w:szCs w:val="16"/>
        </w:rPr>
        <w:t>Przekierowanie konsoli przez IPMI</w:t>
      </w:r>
    </w:p>
    <w:p w:rsidR="00904CB5" w:rsidRPr="00904CB5" w:rsidRDefault="00904CB5" w:rsidP="00904CB5">
      <w:pPr>
        <w:numPr>
          <w:ilvl w:val="1"/>
          <w:numId w:val="8"/>
        </w:numPr>
        <w:ind w:left="284" w:hanging="284"/>
        <w:jc w:val="both"/>
        <w:rPr>
          <w:rFonts w:ascii="Tahoma" w:hAnsi="Tahoma" w:cs="Tahoma"/>
          <w:sz w:val="16"/>
          <w:szCs w:val="16"/>
        </w:rPr>
      </w:pPr>
      <w:r w:rsidRPr="00904CB5">
        <w:rPr>
          <w:rFonts w:ascii="Tahoma" w:hAnsi="Tahoma" w:cs="Tahoma"/>
          <w:sz w:val="16"/>
          <w:szCs w:val="16"/>
        </w:rPr>
        <w:t xml:space="preserve">Zrzut ekranu </w:t>
      </w:r>
    </w:p>
    <w:p w:rsidR="00904CB5" w:rsidRPr="00904CB5" w:rsidRDefault="00904CB5" w:rsidP="00904CB5">
      <w:pPr>
        <w:numPr>
          <w:ilvl w:val="1"/>
          <w:numId w:val="8"/>
        </w:numPr>
        <w:ind w:left="284" w:hanging="284"/>
        <w:jc w:val="both"/>
        <w:rPr>
          <w:rFonts w:ascii="Tahoma" w:hAnsi="Tahoma" w:cs="Tahoma"/>
          <w:sz w:val="16"/>
          <w:szCs w:val="16"/>
        </w:rPr>
      </w:pPr>
      <w:r w:rsidRPr="00904CB5">
        <w:rPr>
          <w:rFonts w:ascii="Tahoma" w:hAnsi="Tahoma" w:cs="Tahoma"/>
          <w:sz w:val="16"/>
          <w:szCs w:val="16"/>
        </w:rPr>
        <w:t>Możliwość przejęcia zdalnego ekranu 1920x1200, 60 Hz</w:t>
      </w:r>
    </w:p>
    <w:p w:rsidR="00904CB5" w:rsidRPr="00904CB5" w:rsidRDefault="00904CB5" w:rsidP="00904CB5">
      <w:pPr>
        <w:numPr>
          <w:ilvl w:val="1"/>
          <w:numId w:val="8"/>
        </w:numPr>
        <w:ind w:left="284" w:hanging="284"/>
        <w:jc w:val="both"/>
        <w:rPr>
          <w:rFonts w:ascii="Tahoma" w:hAnsi="Tahoma" w:cs="Tahoma"/>
          <w:sz w:val="16"/>
          <w:szCs w:val="16"/>
        </w:rPr>
      </w:pPr>
      <w:r w:rsidRPr="00904CB5">
        <w:rPr>
          <w:rFonts w:ascii="Tahoma" w:hAnsi="Tahoma" w:cs="Tahoma"/>
          <w:sz w:val="16"/>
          <w:szCs w:val="16"/>
        </w:rPr>
        <w:t>Możliwość zdalnej instalacji systemu operacyjnego,</w:t>
      </w:r>
    </w:p>
    <w:p w:rsidR="00904CB5" w:rsidRPr="00904CB5" w:rsidRDefault="00904CB5" w:rsidP="00904CB5">
      <w:pPr>
        <w:numPr>
          <w:ilvl w:val="1"/>
          <w:numId w:val="8"/>
        </w:numPr>
        <w:ind w:left="284" w:hanging="284"/>
        <w:jc w:val="both"/>
        <w:rPr>
          <w:rFonts w:ascii="Tahoma" w:hAnsi="Tahoma" w:cs="Tahoma"/>
          <w:sz w:val="16"/>
          <w:szCs w:val="16"/>
        </w:rPr>
      </w:pPr>
      <w:r w:rsidRPr="00904CB5">
        <w:rPr>
          <w:rFonts w:ascii="Tahoma" w:hAnsi="Tahoma" w:cs="Tahoma"/>
          <w:sz w:val="16"/>
          <w:szCs w:val="16"/>
        </w:rPr>
        <w:t>Wsparcie dla IPv6,</w:t>
      </w:r>
    </w:p>
    <w:p w:rsidR="00904CB5" w:rsidRPr="00904CB5" w:rsidRDefault="00904CB5" w:rsidP="00904CB5">
      <w:pPr>
        <w:numPr>
          <w:ilvl w:val="1"/>
          <w:numId w:val="8"/>
        </w:numPr>
        <w:ind w:left="284" w:hanging="284"/>
        <w:jc w:val="both"/>
        <w:rPr>
          <w:rFonts w:ascii="Tahoma" w:hAnsi="Tahoma" w:cs="Tahoma"/>
          <w:sz w:val="16"/>
          <w:szCs w:val="16"/>
        </w:rPr>
      </w:pPr>
      <w:r w:rsidRPr="00904CB5">
        <w:rPr>
          <w:rFonts w:ascii="Tahoma" w:hAnsi="Tahoma" w:cs="Tahoma"/>
          <w:sz w:val="16"/>
          <w:szCs w:val="16"/>
        </w:rPr>
        <w:t>Syslog</w:t>
      </w:r>
    </w:p>
    <w:p w:rsidR="00904CB5" w:rsidRPr="00904CB5" w:rsidRDefault="00904CB5" w:rsidP="00904CB5">
      <w:pPr>
        <w:numPr>
          <w:ilvl w:val="1"/>
          <w:numId w:val="8"/>
        </w:numPr>
        <w:ind w:left="284" w:hanging="284"/>
        <w:jc w:val="both"/>
        <w:rPr>
          <w:rFonts w:ascii="Tahoma" w:hAnsi="Tahoma" w:cs="Tahoma"/>
          <w:sz w:val="16"/>
          <w:szCs w:val="16"/>
        </w:rPr>
      </w:pPr>
      <w:r w:rsidRPr="00904CB5">
        <w:rPr>
          <w:rFonts w:ascii="Tahoma" w:hAnsi="Tahoma" w:cs="Tahoma"/>
          <w:sz w:val="16"/>
          <w:szCs w:val="16"/>
        </w:rPr>
        <w:t>Przekierowanie konsoli przez SSH</w:t>
      </w:r>
    </w:p>
    <w:p w:rsidR="00904CB5" w:rsidRPr="00904CB5" w:rsidRDefault="00904CB5" w:rsidP="00904CB5">
      <w:pPr>
        <w:numPr>
          <w:ilvl w:val="1"/>
          <w:numId w:val="8"/>
        </w:numPr>
        <w:ind w:left="284" w:hanging="284"/>
        <w:jc w:val="both"/>
        <w:rPr>
          <w:rFonts w:ascii="Tahoma" w:hAnsi="Tahoma" w:cs="Tahoma"/>
          <w:sz w:val="16"/>
          <w:szCs w:val="16"/>
        </w:rPr>
      </w:pPr>
      <w:r w:rsidRPr="00904CB5">
        <w:rPr>
          <w:rFonts w:ascii="Tahoma" w:hAnsi="Tahoma" w:cs="Tahoma"/>
          <w:sz w:val="16"/>
          <w:szCs w:val="16"/>
        </w:rPr>
        <w:t xml:space="preserve">Wyświetlanie danych aktualnych I historycznych dla użycia energii </w:t>
      </w:r>
    </w:p>
    <w:p w:rsidR="00904CB5" w:rsidRPr="00904CB5" w:rsidRDefault="00904CB5" w:rsidP="00904CB5">
      <w:pPr>
        <w:numPr>
          <w:ilvl w:val="1"/>
          <w:numId w:val="8"/>
        </w:numPr>
        <w:ind w:left="284" w:hanging="284"/>
        <w:jc w:val="both"/>
        <w:rPr>
          <w:rFonts w:ascii="Tahoma" w:hAnsi="Tahoma" w:cs="Tahoma"/>
          <w:sz w:val="16"/>
          <w:szCs w:val="16"/>
        </w:rPr>
      </w:pPr>
      <w:r w:rsidRPr="00904CB5">
        <w:rPr>
          <w:rFonts w:ascii="Tahoma" w:hAnsi="Tahoma" w:cs="Tahoma"/>
          <w:sz w:val="16"/>
          <w:szCs w:val="16"/>
        </w:rPr>
        <w:t>Możliwość jednoczesnej pracy minimum 2 użytkowników przez wirtualną konsolę</w:t>
      </w:r>
    </w:p>
    <w:p w:rsidR="00904CB5" w:rsidRPr="00904CB5" w:rsidRDefault="00904CB5" w:rsidP="00904CB5">
      <w:pPr>
        <w:numPr>
          <w:ilvl w:val="0"/>
          <w:numId w:val="10"/>
        </w:numPr>
        <w:ind w:left="284" w:hanging="284"/>
        <w:jc w:val="both"/>
        <w:rPr>
          <w:rFonts w:ascii="Tahoma" w:hAnsi="Tahoma" w:cs="Tahoma"/>
          <w:sz w:val="16"/>
          <w:szCs w:val="16"/>
        </w:rPr>
      </w:pPr>
      <w:r w:rsidRPr="00904CB5">
        <w:rPr>
          <w:rFonts w:ascii="Tahoma" w:hAnsi="Tahoma" w:cs="Tahoma"/>
          <w:sz w:val="16"/>
          <w:szCs w:val="16"/>
        </w:rPr>
        <w:t>Wspierane protokoły/interfejsy: IPMI v2.0, SNMP v3, DCMI v1.5"?</w:t>
      </w:r>
      <w:r w:rsidRPr="00904CB5">
        <w:rPr>
          <w:rFonts w:ascii="Tahoma" w:hAnsi="Tahoma" w:cs="Tahoma"/>
          <w:sz w:val="16"/>
          <w:szCs w:val="16"/>
        </w:rPr>
        <w:tab/>
      </w:r>
    </w:p>
    <w:p w:rsidR="00904CB5" w:rsidRPr="00904CB5" w:rsidRDefault="00904CB5" w:rsidP="00904CB5">
      <w:pPr>
        <w:ind w:left="284" w:hanging="284"/>
        <w:jc w:val="both"/>
        <w:rPr>
          <w:rFonts w:ascii="Tahoma" w:hAnsi="Tahoma" w:cs="Tahoma"/>
          <w:color w:val="FF0000"/>
          <w:sz w:val="16"/>
          <w:szCs w:val="16"/>
          <w:highlight w:val="yellow"/>
        </w:rPr>
      </w:pP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Zamawiający wprowadza zmianę do SIWZ wprowadzając zapis:</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 xml:space="preserve">Było: </w:t>
      </w:r>
    </w:p>
    <w:p w:rsidR="00904CB5" w:rsidRPr="00904CB5" w:rsidRDefault="00904CB5" w:rsidP="00904CB5">
      <w:pPr>
        <w:numPr>
          <w:ilvl w:val="1"/>
          <w:numId w:val="8"/>
        </w:numPr>
        <w:ind w:left="284" w:hanging="284"/>
        <w:jc w:val="both"/>
        <w:rPr>
          <w:rFonts w:ascii="Tahoma" w:hAnsi="Tahoma" w:cs="Tahoma"/>
          <w:i/>
          <w:color w:val="548DD4"/>
          <w:sz w:val="16"/>
          <w:szCs w:val="16"/>
        </w:rPr>
      </w:pPr>
      <w:r w:rsidRPr="00904CB5">
        <w:rPr>
          <w:rFonts w:ascii="Tahoma" w:hAnsi="Tahoma" w:cs="Tahoma"/>
          <w:i/>
          <w:color w:val="548DD4"/>
          <w:sz w:val="16"/>
          <w:szCs w:val="16"/>
        </w:rPr>
        <w:t>Przekierowanie konsoli szeregowej przez IPMI</w:t>
      </w:r>
    </w:p>
    <w:p w:rsidR="00904CB5" w:rsidRPr="00904CB5" w:rsidRDefault="00904CB5" w:rsidP="00904CB5">
      <w:pPr>
        <w:numPr>
          <w:ilvl w:val="1"/>
          <w:numId w:val="8"/>
        </w:numPr>
        <w:ind w:left="284" w:hanging="284"/>
        <w:jc w:val="both"/>
        <w:rPr>
          <w:rFonts w:ascii="Tahoma" w:hAnsi="Tahoma" w:cs="Tahoma"/>
          <w:i/>
          <w:color w:val="548DD4"/>
          <w:sz w:val="16"/>
          <w:szCs w:val="16"/>
        </w:rPr>
      </w:pPr>
      <w:r w:rsidRPr="00904CB5">
        <w:rPr>
          <w:rFonts w:ascii="Tahoma" w:hAnsi="Tahoma" w:cs="Tahoma"/>
          <w:i/>
          <w:color w:val="548DD4"/>
          <w:sz w:val="16"/>
          <w:szCs w:val="16"/>
        </w:rPr>
        <w:t>Zrzut ekranu w momencie zawieszenia system</w:t>
      </w:r>
    </w:p>
    <w:p w:rsidR="00904CB5" w:rsidRPr="00904CB5" w:rsidRDefault="00904CB5" w:rsidP="00904CB5">
      <w:pPr>
        <w:numPr>
          <w:ilvl w:val="1"/>
          <w:numId w:val="8"/>
        </w:numPr>
        <w:ind w:left="284" w:hanging="284"/>
        <w:jc w:val="both"/>
        <w:rPr>
          <w:rFonts w:ascii="Tahoma" w:hAnsi="Tahoma" w:cs="Tahoma"/>
          <w:i/>
          <w:color w:val="548DD4"/>
          <w:sz w:val="16"/>
          <w:szCs w:val="16"/>
        </w:rPr>
      </w:pPr>
      <w:r w:rsidRPr="00904CB5">
        <w:rPr>
          <w:rFonts w:ascii="Tahoma" w:hAnsi="Tahoma" w:cs="Tahoma"/>
          <w:i/>
          <w:color w:val="548DD4"/>
          <w:sz w:val="16"/>
          <w:szCs w:val="16"/>
        </w:rPr>
        <w:t>Możliwość przejęcia zdalnego ekranu 1920x1200, 60 Hz,16 bpp</w:t>
      </w:r>
    </w:p>
    <w:p w:rsidR="00904CB5" w:rsidRPr="00904CB5" w:rsidRDefault="00904CB5" w:rsidP="00904CB5">
      <w:pPr>
        <w:numPr>
          <w:ilvl w:val="1"/>
          <w:numId w:val="8"/>
        </w:numPr>
        <w:ind w:left="284" w:hanging="284"/>
        <w:jc w:val="both"/>
        <w:rPr>
          <w:rFonts w:ascii="Tahoma" w:hAnsi="Tahoma" w:cs="Tahoma"/>
          <w:i/>
          <w:color w:val="548DD4"/>
          <w:sz w:val="16"/>
          <w:szCs w:val="16"/>
        </w:rPr>
      </w:pPr>
      <w:r w:rsidRPr="00904CB5">
        <w:rPr>
          <w:rFonts w:ascii="Tahoma" w:hAnsi="Tahoma" w:cs="Tahoma"/>
          <w:i/>
          <w:color w:val="548DD4"/>
          <w:sz w:val="16"/>
          <w:szCs w:val="16"/>
        </w:rPr>
        <w:t>Przekierowanie konsoli szeregowej przez SSH</w:t>
      </w:r>
    </w:p>
    <w:p w:rsidR="00904CB5" w:rsidRPr="00904CB5" w:rsidRDefault="00904CB5" w:rsidP="00904CB5">
      <w:pPr>
        <w:numPr>
          <w:ilvl w:val="1"/>
          <w:numId w:val="8"/>
        </w:numPr>
        <w:ind w:left="284" w:hanging="284"/>
        <w:jc w:val="both"/>
        <w:rPr>
          <w:rFonts w:ascii="Tahoma" w:hAnsi="Tahoma" w:cs="Tahoma"/>
          <w:i/>
          <w:color w:val="548DD4"/>
          <w:sz w:val="16"/>
          <w:szCs w:val="16"/>
        </w:rPr>
      </w:pPr>
      <w:r w:rsidRPr="00904CB5">
        <w:rPr>
          <w:rFonts w:ascii="Tahoma" w:hAnsi="Tahoma" w:cs="Tahoma"/>
          <w:i/>
          <w:color w:val="548DD4"/>
          <w:sz w:val="16"/>
          <w:szCs w:val="16"/>
        </w:rPr>
        <w:t xml:space="preserve">Wyświetlanie danych aktualnych I historycznych dla użycia energii I temperatury serwera </w:t>
      </w:r>
    </w:p>
    <w:p w:rsidR="00904CB5" w:rsidRPr="00904CB5" w:rsidRDefault="00904CB5" w:rsidP="00904CB5">
      <w:pPr>
        <w:numPr>
          <w:ilvl w:val="1"/>
          <w:numId w:val="8"/>
        </w:numPr>
        <w:ind w:left="284" w:hanging="284"/>
        <w:jc w:val="both"/>
        <w:rPr>
          <w:rFonts w:ascii="Tahoma" w:hAnsi="Tahoma" w:cs="Tahoma"/>
          <w:i/>
          <w:color w:val="548DD4"/>
          <w:sz w:val="16"/>
          <w:szCs w:val="16"/>
        </w:rPr>
      </w:pPr>
      <w:r w:rsidRPr="00904CB5">
        <w:rPr>
          <w:rFonts w:ascii="Tahoma" w:hAnsi="Tahoma" w:cs="Tahoma"/>
          <w:i/>
          <w:color w:val="548DD4"/>
          <w:sz w:val="16"/>
          <w:szCs w:val="16"/>
        </w:rPr>
        <w:t>Możliwość mapowania obrazów ISO przez HTTPS, SFTP, CIFS oraz NFS</w:t>
      </w:r>
    </w:p>
    <w:p w:rsidR="00904CB5" w:rsidRPr="00904CB5" w:rsidRDefault="00904CB5" w:rsidP="00904CB5">
      <w:pPr>
        <w:numPr>
          <w:ilvl w:val="1"/>
          <w:numId w:val="8"/>
        </w:numPr>
        <w:ind w:left="284" w:hanging="284"/>
        <w:jc w:val="both"/>
        <w:rPr>
          <w:rFonts w:ascii="Tahoma" w:hAnsi="Tahoma" w:cs="Tahoma"/>
          <w:i/>
          <w:color w:val="548DD4"/>
          <w:sz w:val="16"/>
          <w:szCs w:val="16"/>
        </w:rPr>
      </w:pPr>
      <w:r w:rsidRPr="00904CB5">
        <w:rPr>
          <w:rFonts w:ascii="Tahoma" w:hAnsi="Tahoma" w:cs="Tahoma"/>
          <w:i/>
          <w:color w:val="548DD4"/>
          <w:sz w:val="16"/>
          <w:szCs w:val="16"/>
        </w:rPr>
        <w:t>Możliwość jednoczesnej pracy minimum 5 użytkowników przez wirtualną konsolę</w:t>
      </w:r>
    </w:p>
    <w:p w:rsidR="00904CB5" w:rsidRPr="00904CB5" w:rsidRDefault="00904CB5" w:rsidP="00904CB5">
      <w:pPr>
        <w:numPr>
          <w:ilvl w:val="0"/>
          <w:numId w:val="9"/>
        </w:numPr>
        <w:ind w:left="284" w:hanging="284"/>
        <w:jc w:val="both"/>
        <w:rPr>
          <w:rFonts w:ascii="Tahoma" w:hAnsi="Tahoma" w:cs="Tahoma"/>
          <w:i/>
          <w:color w:val="548DD4"/>
          <w:sz w:val="16"/>
          <w:szCs w:val="16"/>
        </w:rPr>
      </w:pPr>
      <w:r w:rsidRPr="00904CB5">
        <w:rPr>
          <w:rFonts w:ascii="Tahoma" w:hAnsi="Tahoma" w:cs="Tahoma"/>
          <w:i/>
          <w:color w:val="548DD4"/>
          <w:sz w:val="16"/>
          <w:szCs w:val="16"/>
        </w:rPr>
        <w:t>Wspierane protokoły/interfejsy: IPMI v2.0, SNMP v3, CIM, DCMI v1.5, REST API</w:t>
      </w:r>
    </w:p>
    <w:p w:rsidR="00904CB5" w:rsidRPr="00904CB5" w:rsidRDefault="00904CB5" w:rsidP="00904CB5">
      <w:pPr>
        <w:numPr>
          <w:ilvl w:val="0"/>
          <w:numId w:val="9"/>
        </w:numPr>
        <w:ind w:left="284" w:hanging="284"/>
        <w:jc w:val="both"/>
        <w:rPr>
          <w:rFonts w:ascii="Tahoma" w:hAnsi="Tahoma" w:cs="Tahoma"/>
          <w:i/>
          <w:color w:val="548DD4"/>
          <w:sz w:val="16"/>
          <w:szCs w:val="16"/>
        </w:rPr>
      </w:pPr>
      <w:r w:rsidRPr="00904CB5">
        <w:rPr>
          <w:rFonts w:ascii="Tahoma" w:hAnsi="Tahoma" w:cs="Tahoma"/>
          <w:i/>
          <w:color w:val="548DD4"/>
          <w:sz w:val="16"/>
          <w:szCs w:val="16"/>
        </w:rPr>
        <w:t>Możliwość przełączenia frontowego portu USB w taki sposób, aby ten port służył serwisantowi (był podłączony do karty zarządzającej) bez możliwości uzyskania jakiejkolwiek funkcjonalności na poziomie zainstalowanego systemu operacyjnego. Funkcjonalność ta musi być realizowana na poziomie sprzętowym i musi być niezależna od zainstalowanego systemu operacyjnego."</w:t>
      </w:r>
    </w:p>
    <w:p w:rsidR="00904CB5" w:rsidRPr="00904CB5" w:rsidRDefault="00904CB5" w:rsidP="00904CB5">
      <w:pPr>
        <w:ind w:left="284" w:hanging="284"/>
        <w:jc w:val="both"/>
        <w:rPr>
          <w:rFonts w:ascii="Tahoma" w:hAnsi="Tahoma" w:cs="Tahoma"/>
          <w:i/>
          <w:color w:val="548DD4"/>
          <w:sz w:val="16"/>
          <w:szCs w:val="16"/>
        </w:rPr>
      </w:pPr>
      <w:r w:rsidRPr="00904CB5">
        <w:rPr>
          <w:rFonts w:ascii="Tahoma" w:hAnsi="Tahoma" w:cs="Tahoma"/>
          <w:i/>
          <w:color w:val="548DD4"/>
          <w:sz w:val="16"/>
          <w:szCs w:val="16"/>
        </w:rPr>
        <w:t>Jest:</w:t>
      </w:r>
    </w:p>
    <w:p w:rsidR="00904CB5" w:rsidRPr="00904CB5" w:rsidRDefault="00904CB5" w:rsidP="00904CB5">
      <w:pPr>
        <w:numPr>
          <w:ilvl w:val="1"/>
          <w:numId w:val="8"/>
        </w:numPr>
        <w:ind w:left="284" w:hanging="284"/>
        <w:jc w:val="both"/>
        <w:rPr>
          <w:rFonts w:ascii="Tahoma" w:hAnsi="Tahoma" w:cs="Tahoma"/>
          <w:color w:val="548DD4"/>
          <w:sz w:val="16"/>
          <w:szCs w:val="16"/>
        </w:rPr>
      </w:pPr>
      <w:r w:rsidRPr="00904CB5">
        <w:rPr>
          <w:rFonts w:ascii="Tahoma" w:hAnsi="Tahoma" w:cs="Tahoma"/>
          <w:color w:val="548DD4"/>
          <w:sz w:val="16"/>
          <w:szCs w:val="16"/>
        </w:rPr>
        <w:t>Przekierowanie konsoli przez IPMI</w:t>
      </w:r>
    </w:p>
    <w:p w:rsidR="00904CB5" w:rsidRPr="00904CB5" w:rsidRDefault="00904CB5" w:rsidP="00904CB5">
      <w:pPr>
        <w:numPr>
          <w:ilvl w:val="1"/>
          <w:numId w:val="8"/>
        </w:numPr>
        <w:ind w:left="284" w:hanging="284"/>
        <w:jc w:val="both"/>
        <w:rPr>
          <w:rFonts w:ascii="Tahoma" w:hAnsi="Tahoma" w:cs="Tahoma"/>
          <w:color w:val="548DD4"/>
          <w:sz w:val="16"/>
          <w:szCs w:val="16"/>
        </w:rPr>
      </w:pPr>
      <w:r w:rsidRPr="00904CB5">
        <w:rPr>
          <w:rFonts w:ascii="Tahoma" w:hAnsi="Tahoma" w:cs="Tahoma"/>
          <w:color w:val="548DD4"/>
          <w:sz w:val="16"/>
          <w:szCs w:val="16"/>
        </w:rPr>
        <w:t xml:space="preserve">Zrzut ekranu </w:t>
      </w:r>
    </w:p>
    <w:p w:rsidR="00904CB5" w:rsidRPr="00904CB5" w:rsidRDefault="00904CB5" w:rsidP="00904CB5">
      <w:pPr>
        <w:numPr>
          <w:ilvl w:val="1"/>
          <w:numId w:val="8"/>
        </w:numPr>
        <w:ind w:left="284" w:hanging="284"/>
        <w:jc w:val="both"/>
        <w:rPr>
          <w:rFonts w:ascii="Tahoma" w:hAnsi="Tahoma" w:cs="Tahoma"/>
          <w:color w:val="548DD4"/>
          <w:sz w:val="16"/>
          <w:szCs w:val="16"/>
        </w:rPr>
      </w:pPr>
      <w:r w:rsidRPr="00904CB5">
        <w:rPr>
          <w:rFonts w:ascii="Tahoma" w:hAnsi="Tahoma" w:cs="Tahoma"/>
          <w:color w:val="548DD4"/>
          <w:sz w:val="16"/>
          <w:szCs w:val="16"/>
        </w:rPr>
        <w:t>Możliwość przejęcia zdalnego ekranu 1920x1200, 60 Hz</w:t>
      </w:r>
    </w:p>
    <w:p w:rsidR="00904CB5" w:rsidRPr="00904CB5" w:rsidRDefault="00904CB5" w:rsidP="00904CB5">
      <w:pPr>
        <w:numPr>
          <w:ilvl w:val="1"/>
          <w:numId w:val="8"/>
        </w:numPr>
        <w:ind w:left="284" w:hanging="284"/>
        <w:jc w:val="both"/>
        <w:rPr>
          <w:rFonts w:ascii="Tahoma" w:hAnsi="Tahoma" w:cs="Tahoma"/>
          <w:color w:val="548DD4"/>
          <w:sz w:val="16"/>
          <w:szCs w:val="16"/>
        </w:rPr>
      </w:pPr>
      <w:r w:rsidRPr="00904CB5">
        <w:rPr>
          <w:rFonts w:ascii="Tahoma" w:hAnsi="Tahoma" w:cs="Tahoma"/>
          <w:color w:val="548DD4"/>
          <w:sz w:val="16"/>
          <w:szCs w:val="16"/>
        </w:rPr>
        <w:t>Możliwość zdalnej instalacji systemu operacyjnego,</w:t>
      </w:r>
    </w:p>
    <w:p w:rsidR="00904CB5" w:rsidRPr="00904CB5" w:rsidRDefault="00904CB5" w:rsidP="00904CB5">
      <w:pPr>
        <w:numPr>
          <w:ilvl w:val="1"/>
          <w:numId w:val="8"/>
        </w:numPr>
        <w:ind w:left="284" w:hanging="284"/>
        <w:jc w:val="both"/>
        <w:rPr>
          <w:rFonts w:ascii="Tahoma" w:hAnsi="Tahoma" w:cs="Tahoma"/>
          <w:color w:val="548DD4"/>
          <w:sz w:val="16"/>
          <w:szCs w:val="16"/>
        </w:rPr>
      </w:pPr>
      <w:r w:rsidRPr="00904CB5">
        <w:rPr>
          <w:rFonts w:ascii="Tahoma" w:hAnsi="Tahoma" w:cs="Tahoma"/>
          <w:color w:val="548DD4"/>
          <w:sz w:val="16"/>
          <w:szCs w:val="16"/>
        </w:rPr>
        <w:t>Wsparcie dla IPv6,</w:t>
      </w:r>
    </w:p>
    <w:p w:rsidR="00904CB5" w:rsidRPr="00904CB5" w:rsidRDefault="00904CB5" w:rsidP="00904CB5">
      <w:pPr>
        <w:numPr>
          <w:ilvl w:val="1"/>
          <w:numId w:val="8"/>
        </w:numPr>
        <w:ind w:left="284" w:hanging="284"/>
        <w:jc w:val="both"/>
        <w:rPr>
          <w:rFonts w:ascii="Tahoma" w:hAnsi="Tahoma" w:cs="Tahoma"/>
          <w:color w:val="548DD4"/>
          <w:sz w:val="16"/>
          <w:szCs w:val="16"/>
        </w:rPr>
      </w:pPr>
      <w:r w:rsidRPr="00904CB5">
        <w:rPr>
          <w:rFonts w:ascii="Tahoma" w:hAnsi="Tahoma" w:cs="Tahoma"/>
          <w:color w:val="548DD4"/>
          <w:sz w:val="16"/>
          <w:szCs w:val="16"/>
        </w:rPr>
        <w:t>Syslog,</w:t>
      </w:r>
    </w:p>
    <w:p w:rsidR="00904CB5" w:rsidRPr="00904CB5" w:rsidRDefault="00904CB5" w:rsidP="00904CB5">
      <w:pPr>
        <w:numPr>
          <w:ilvl w:val="1"/>
          <w:numId w:val="8"/>
        </w:numPr>
        <w:ind w:left="284" w:hanging="284"/>
        <w:jc w:val="both"/>
        <w:rPr>
          <w:rFonts w:ascii="Tahoma" w:hAnsi="Tahoma" w:cs="Tahoma"/>
          <w:color w:val="548DD4"/>
          <w:sz w:val="16"/>
          <w:szCs w:val="16"/>
        </w:rPr>
      </w:pPr>
      <w:r w:rsidRPr="00904CB5">
        <w:rPr>
          <w:rFonts w:ascii="Tahoma" w:hAnsi="Tahoma" w:cs="Tahoma"/>
          <w:color w:val="548DD4"/>
          <w:sz w:val="16"/>
          <w:szCs w:val="16"/>
        </w:rPr>
        <w:t>Przekierowanie konsoli przez SSH,</w:t>
      </w:r>
    </w:p>
    <w:p w:rsidR="00904CB5" w:rsidRPr="00904CB5" w:rsidRDefault="00904CB5" w:rsidP="00904CB5">
      <w:pPr>
        <w:numPr>
          <w:ilvl w:val="1"/>
          <w:numId w:val="8"/>
        </w:numPr>
        <w:ind w:left="284" w:hanging="284"/>
        <w:jc w:val="both"/>
        <w:rPr>
          <w:rFonts w:ascii="Tahoma" w:hAnsi="Tahoma" w:cs="Tahoma"/>
          <w:color w:val="548DD4"/>
          <w:sz w:val="16"/>
          <w:szCs w:val="16"/>
        </w:rPr>
      </w:pPr>
      <w:r w:rsidRPr="00904CB5">
        <w:rPr>
          <w:rFonts w:ascii="Tahoma" w:hAnsi="Tahoma" w:cs="Tahoma"/>
          <w:color w:val="548DD4"/>
          <w:sz w:val="16"/>
          <w:szCs w:val="16"/>
        </w:rPr>
        <w:t>Wyświetlanie danych aktualnych i historycznych dla użycia energii i temperatury serwera,</w:t>
      </w:r>
    </w:p>
    <w:p w:rsidR="00904CB5" w:rsidRPr="00904CB5" w:rsidRDefault="00904CB5" w:rsidP="00904CB5">
      <w:pPr>
        <w:numPr>
          <w:ilvl w:val="1"/>
          <w:numId w:val="8"/>
        </w:numPr>
        <w:ind w:left="284" w:hanging="284"/>
        <w:jc w:val="both"/>
        <w:rPr>
          <w:rFonts w:ascii="Tahoma" w:hAnsi="Tahoma" w:cs="Tahoma"/>
          <w:color w:val="548DD4"/>
          <w:sz w:val="16"/>
          <w:szCs w:val="16"/>
        </w:rPr>
      </w:pPr>
      <w:r w:rsidRPr="00904CB5">
        <w:rPr>
          <w:rFonts w:ascii="Tahoma" w:hAnsi="Tahoma" w:cs="Tahoma"/>
          <w:color w:val="548DD4"/>
          <w:sz w:val="16"/>
          <w:szCs w:val="16"/>
        </w:rPr>
        <w:t>Możliwość jednoczesnej pracy minimum 2 użytkowników przez wirtualną konsolę</w:t>
      </w:r>
    </w:p>
    <w:p w:rsidR="00904CB5" w:rsidRPr="00904CB5" w:rsidRDefault="00904CB5" w:rsidP="00904CB5">
      <w:pPr>
        <w:numPr>
          <w:ilvl w:val="1"/>
          <w:numId w:val="8"/>
        </w:numPr>
        <w:ind w:left="284" w:hanging="284"/>
        <w:jc w:val="both"/>
        <w:rPr>
          <w:rFonts w:ascii="Tahoma" w:hAnsi="Tahoma" w:cs="Tahoma"/>
          <w:color w:val="548DD4"/>
          <w:sz w:val="16"/>
          <w:szCs w:val="16"/>
        </w:rPr>
      </w:pPr>
      <w:r w:rsidRPr="00904CB5">
        <w:rPr>
          <w:rFonts w:ascii="Tahoma" w:hAnsi="Tahoma" w:cs="Tahoma"/>
          <w:color w:val="548DD4"/>
          <w:sz w:val="16"/>
          <w:szCs w:val="16"/>
        </w:rPr>
        <w:t>Wspierane protokoły/interfejsy: IPMI v2.0, SNMP v3, DCMI v1.5"?</w:t>
      </w:r>
    </w:p>
    <w:p w:rsidR="00904CB5" w:rsidRPr="00904CB5" w:rsidRDefault="00904CB5" w:rsidP="00904CB5">
      <w:pPr>
        <w:ind w:left="284" w:hanging="284"/>
        <w:jc w:val="both"/>
        <w:rPr>
          <w:rFonts w:ascii="Tahoma" w:hAnsi="Tahoma" w:cs="Tahoma"/>
          <w:color w:val="548DD4"/>
          <w:sz w:val="16"/>
          <w:szCs w:val="16"/>
        </w:rPr>
      </w:pPr>
    </w:p>
    <w:p w:rsidR="00904CB5" w:rsidRPr="00904CB5" w:rsidRDefault="00904CB5" w:rsidP="00904CB5">
      <w:pPr>
        <w:pStyle w:val="Nagwek21"/>
        <w:keepNext/>
        <w:keepLines/>
        <w:shd w:val="clear" w:color="auto" w:fill="auto"/>
        <w:spacing w:before="0" w:after="0" w:line="240" w:lineRule="auto"/>
        <w:ind w:left="284" w:hanging="284"/>
        <w:rPr>
          <w:rFonts w:ascii="Tahoma" w:hAnsi="Tahoma" w:cs="Tahoma"/>
          <w:color w:val="000000"/>
          <w:sz w:val="16"/>
          <w:szCs w:val="16"/>
        </w:rPr>
      </w:pPr>
    </w:p>
    <w:p w:rsidR="00904CB5" w:rsidRPr="00904CB5" w:rsidRDefault="00904CB5" w:rsidP="00904CB5">
      <w:pPr>
        <w:pStyle w:val="Nagwek21"/>
        <w:keepNext/>
        <w:keepLines/>
        <w:spacing w:before="0" w:after="0" w:line="240" w:lineRule="auto"/>
        <w:ind w:left="284" w:hanging="284"/>
        <w:rPr>
          <w:rFonts w:ascii="Tahoma" w:hAnsi="Tahoma" w:cs="Tahoma"/>
          <w:color w:val="000000"/>
          <w:sz w:val="16"/>
          <w:szCs w:val="16"/>
        </w:rPr>
      </w:pPr>
      <w:r w:rsidRPr="00904CB5">
        <w:rPr>
          <w:rFonts w:ascii="Tahoma" w:hAnsi="Tahoma" w:cs="Tahoma"/>
          <w:color w:val="000000"/>
          <w:sz w:val="16"/>
          <w:szCs w:val="16"/>
        </w:rPr>
        <w:t>Pytanie nr 1: dotyczy wymagania na serwer obliczeniowy:</w:t>
      </w:r>
    </w:p>
    <w:p w:rsidR="00904CB5" w:rsidRPr="00904CB5" w:rsidRDefault="00904CB5" w:rsidP="00904CB5">
      <w:pPr>
        <w:pStyle w:val="Nagwek21"/>
        <w:keepNext/>
        <w:keepLines/>
        <w:spacing w:before="0" w:after="0" w:line="240" w:lineRule="auto"/>
        <w:ind w:left="284" w:hanging="284"/>
        <w:rPr>
          <w:rFonts w:ascii="Tahoma" w:hAnsi="Tahoma" w:cs="Tahoma"/>
          <w:b w:val="0"/>
          <w:color w:val="000000"/>
          <w:sz w:val="16"/>
          <w:szCs w:val="16"/>
        </w:rPr>
      </w:pPr>
      <w:r w:rsidRPr="00904CB5">
        <w:rPr>
          <w:rFonts w:ascii="Tahoma" w:hAnsi="Tahoma" w:cs="Tahoma"/>
          <w:b w:val="0"/>
          <w:color w:val="000000"/>
          <w:sz w:val="16"/>
          <w:szCs w:val="16"/>
        </w:rPr>
        <w:t>Procesor - „Architektura x86, maksymalny TDP dla procesora - 150W. Minimalna ilość rdzeni dla procesora - 24. Wynik wydajności procesora instalowanego w oferowanym serwerze powinien przekraczać 8450 punktów baseline w SPEC w teście CINT2006 opublikowanych przez SPEC.org (www.spec.org) dla konfiguracji ośmioprocesorowej. Test przeprowadzony przez producenta serwera musi być zamieszczony na stronie spec.org. Obsługa minimum ośmiu procesorów".</w:t>
      </w:r>
    </w:p>
    <w:p w:rsidR="00904CB5" w:rsidRPr="00904CB5" w:rsidRDefault="00904CB5" w:rsidP="00904CB5">
      <w:pPr>
        <w:pStyle w:val="Nagwek21"/>
        <w:keepNext/>
        <w:keepLines/>
        <w:spacing w:before="0" w:after="0" w:line="240" w:lineRule="auto"/>
        <w:ind w:left="284" w:hanging="284"/>
        <w:rPr>
          <w:rFonts w:ascii="Tahoma" w:hAnsi="Tahoma" w:cs="Tahoma"/>
          <w:b w:val="0"/>
          <w:color w:val="000000"/>
          <w:sz w:val="16"/>
          <w:szCs w:val="16"/>
        </w:rPr>
      </w:pPr>
      <w:r w:rsidRPr="00904CB5">
        <w:rPr>
          <w:rFonts w:ascii="Tahoma" w:hAnsi="Tahoma" w:cs="Tahoma"/>
          <w:b w:val="0"/>
          <w:color w:val="000000"/>
          <w:sz w:val="16"/>
          <w:szCs w:val="16"/>
        </w:rPr>
        <w:t>W chwili obecnej SPEC nie pozwala na dodawanie nowych wyników do SPEC2006. SPEC 2006 jest starszym i nieobowiązującym już standardem i według samej organizacji ma jedynie walor historyczny.: https://www.spec.org/results.html "SPEC is no longer accepting new results for this benchmark. Published results are available here for historical purposes" Dlatego żadne z najnowszych rozwiązań serwerowych dostępnych na rynku nie może już uzyskać wyników według tej normy.</w:t>
      </w:r>
    </w:p>
    <w:p w:rsidR="00904CB5" w:rsidRPr="00904CB5" w:rsidRDefault="00904CB5" w:rsidP="00904CB5">
      <w:pPr>
        <w:pStyle w:val="Nagwek21"/>
        <w:keepNext/>
        <w:keepLines/>
        <w:spacing w:before="0" w:after="0" w:line="240" w:lineRule="auto"/>
        <w:ind w:left="284" w:hanging="284"/>
        <w:rPr>
          <w:rFonts w:ascii="Tahoma" w:hAnsi="Tahoma" w:cs="Tahoma"/>
          <w:b w:val="0"/>
          <w:color w:val="000000"/>
          <w:sz w:val="16"/>
          <w:szCs w:val="16"/>
        </w:rPr>
      </w:pPr>
      <w:r w:rsidRPr="00904CB5">
        <w:rPr>
          <w:rFonts w:ascii="Tahoma" w:hAnsi="Tahoma" w:cs="Tahoma"/>
          <w:b w:val="0"/>
          <w:color w:val="000000"/>
          <w:sz w:val="16"/>
          <w:szCs w:val="16"/>
        </w:rPr>
        <w:t>Na dzień dzisiejszy obowiązującym standardem jest SPEC2017. Według tej normy przeprowadza się obecnie testy wszystkich nowych urządzeń.</w:t>
      </w:r>
    </w:p>
    <w:p w:rsidR="00904CB5" w:rsidRPr="00904CB5" w:rsidRDefault="00904CB5" w:rsidP="00904CB5">
      <w:pPr>
        <w:pStyle w:val="Nagwek21"/>
        <w:keepNext/>
        <w:keepLines/>
        <w:spacing w:before="0" w:after="0" w:line="240" w:lineRule="auto"/>
        <w:ind w:left="284" w:hanging="284"/>
        <w:rPr>
          <w:rFonts w:ascii="Tahoma" w:hAnsi="Tahoma" w:cs="Tahoma"/>
          <w:b w:val="0"/>
          <w:color w:val="000000"/>
          <w:sz w:val="16"/>
          <w:szCs w:val="16"/>
        </w:rPr>
      </w:pPr>
      <w:r w:rsidRPr="00904CB5">
        <w:rPr>
          <w:rFonts w:ascii="Tahoma" w:hAnsi="Tahoma" w:cs="Tahoma"/>
          <w:b w:val="0"/>
          <w:color w:val="000000"/>
          <w:sz w:val="16"/>
          <w:szCs w:val="16"/>
        </w:rPr>
        <w:t>Metodą na porównanie wyników z tych dwóch różnych standardów, może być porównanie się z serwerami, które zostały zmierzone według obu standardów. Przykładowo serwer Lenovo ThinkSystem SR950 (2.10 GHz, Intel Xeon Platinum 8170) posiada wyniki zarówno według standardów SPEC2006 jak i SPEC2017. Wynoszą one odpowiednio dla SPEC2006: 9010, a dla SPEC2017: 959 - Proporcja 9,4:1. Warto nadmienić że zastosowanie skali SPEC2017 w żadnym stopniu nie zmienia wymogów technicznych Zamawiającego i nie wymaga żadnych więcej zmian czy analiz.</w:t>
      </w:r>
    </w:p>
    <w:p w:rsidR="00904CB5" w:rsidRPr="00904CB5" w:rsidRDefault="00904CB5" w:rsidP="00904CB5">
      <w:pPr>
        <w:pStyle w:val="Nagwek21"/>
        <w:keepNext/>
        <w:keepLines/>
        <w:shd w:val="clear" w:color="auto" w:fill="auto"/>
        <w:spacing w:before="0" w:after="0" w:line="240" w:lineRule="auto"/>
        <w:ind w:left="284" w:hanging="284"/>
        <w:rPr>
          <w:rFonts w:ascii="Tahoma" w:hAnsi="Tahoma" w:cs="Tahoma"/>
          <w:b w:val="0"/>
          <w:color w:val="000000"/>
          <w:sz w:val="16"/>
          <w:szCs w:val="16"/>
        </w:rPr>
      </w:pPr>
      <w:r w:rsidRPr="00904CB5">
        <w:rPr>
          <w:rFonts w:ascii="Tahoma" w:hAnsi="Tahoma" w:cs="Tahoma"/>
          <w:b w:val="0"/>
          <w:color w:val="000000"/>
          <w:sz w:val="16"/>
          <w:szCs w:val="16"/>
        </w:rPr>
        <w:t>Prosimy o potwierdzenie, że Zamawiający w celu zwiększenia konkurencyjności przetargu dopuszcza serwer o wydajności procesora instalowanego w oferowanym serwerze wynoszącego co najmniej 960, mierzonym według obecnie obowiązującego standardu SPEC2017 lub ich równoważnego przeliczenia z SPEC2017 na SPEC2006 (wg proporcji 9,4 : 1)?</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Zamawiający dopuszcza ocenę wydajności procesora według standardu SPEC2017. Minimalna wydajność to 900 punktów.</w:t>
      </w:r>
    </w:p>
    <w:p w:rsidR="00904CB5" w:rsidRPr="00904CB5" w:rsidRDefault="00904CB5" w:rsidP="00904CB5">
      <w:pPr>
        <w:pStyle w:val="Nagwek21"/>
        <w:keepNext/>
        <w:keepLines/>
        <w:shd w:val="clear" w:color="auto" w:fill="auto"/>
        <w:spacing w:before="0" w:after="0" w:line="240" w:lineRule="auto"/>
        <w:ind w:left="284" w:hanging="284"/>
        <w:rPr>
          <w:rFonts w:ascii="Tahoma" w:hAnsi="Tahoma" w:cs="Tahoma"/>
          <w:color w:val="000000"/>
          <w:sz w:val="16"/>
          <w:szCs w:val="16"/>
        </w:rPr>
      </w:pPr>
    </w:p>
    <w:p w:rsidR="00904CB5" w:rsidRPr="00904CB5" w:rsidRDefault="00904CB5" w:rsidP="00904CB5">
      <w:pPr>
        <w:pStyle w:val="Nagwek21"/>
        <w:keepNext/>
        <w:keepLines/>
        <w:shd w:val="clear" w:color="auto" w:fill="auto"/>
        <w:spacing w:before="0" w:after="0" w:line="240" w:lineRule="auto"/>
        <w:ind w:left="284" w:hanging="284"/>
        <w:rPr>
          <w:rFonts w:ascii="Tahoma" w:hAnsi="Tahoma" w:cs="Tahoma"/>
          <w:sz w:val="16"/>
          <w:szCs w:val="16"/>
        </w:rPr>
      </w:pPr>
      <w:r w:rsidRPr="00904CB5">
        <w:rPr>
          <w:rFonts w:ascii="Tahoma" w:hAnsi="Tahoma" w:cs="Tahoma"/>
          <w:color w:val="000000"/>
          <w:sz w:val="16"/>
          <w:szCs w:val="16"/>
        </w:rPr>
        <w:t>Pytanie nr 2 do §5 ust. 4 wzoru umowy:</w:t>
      </w:r>
      <w:bookmarkEnd w:id="1"/>
    </w:p>
    <w:p w:rsidR="00904CB5" w:rsidRPr="00904CB5" w:rsidRDefault="00904CB5" w:rsidP="00904CB5">
      <w:pPr>
        <w:pStyle w:val="Teksttreci20"/>
        <w:shd w:val="clear" w:color="auto" w:fill="auto"/>
        <w:spacing w:after="0" w:line="240" w:lineRule="auto"/>
        <w:ind w:left="284" w:hanging="284"/>
        <w:jc w:val="left"/>
        <w:rPr>
          <w:rFonts w:ascii="Tahoma" w:hAnsi="Tahoma" w:cs="Tahoma"/>
          <w:sz w:val="16"/>
          <w:szCs w:val="16"/>
        </w:rPr>
      </w:pPr>
      <w:r w:rsidRPr="00904CB5">
        <w:rPr>
          <w:rFonts w:ascii="Tahoma" w:hAnsi="Tahoma" w:cs="Tahoma"/>
          <w:color w:val="000000"/>
          <w:sz w:val="16"/>
          <w:szCs w:val="16"/>
        </w:rPr>
        <w:t>Przedmiotowe postanowienie pozostaje w sprzeczności z wymaganiami odnoszącymi się do gwarancji określonymi w SIWZ, str. 4, gdzie zapisano, że:</w:t>
      </w:r>
    </w:p>
    <w:p w:rsidR="00904CB5" w:rsidRPr="00904CB5" w:rsidRDefault="00904CB5" w:rsidP="00904CB5">
      <w:pPr>
        <w:pStyle w:val="Teksttreci20"/>
        <w:shd w:val="clear" w:color="auto" w:fill="auto"/>
        <w:spacing w:after="0" w:line="240" w:lineRule="auto"/>
        <w:ind w:left="284" w:hanging="284"/>
        <w:rPr>
          <w:rFonts w:ascii="Tahoma" w:hAnsi="Tahoma" w:cs="Tahoma"/>
          <w:color w:val="000000"/>
          <w:sz w:val="16"/>
          <w:szCs w:val="16"/>
        </w:rPr>
      </w:pPr>
      <w:r w:rsidRPr="00904CB5">
        <w:rPr>
          <w:rFonts w:ascii="Tahoma" w:hAnsi="Tahoma" w:cs="Tahoma"/>
          <w:color w:val="000000"/>
          <w:sz w:val="16"/>
          <w:szCs w:val="16"/>
        </w:rPr>
        <w:t>„Gwarancja: 36 miesięcy gwarancji producenta świadczonej w miejscu instalacji serwera". Prosimy o jednoznaczne określenie, czy Zamawiający wymaga świadczenia gwarancji w miejscu instalacji, czy wymaga odbioru sprzętu objętego reklamacją. Ewentualnie prosimy o wyjaśnienie, czy Zamawiający dopuści sytuację, w której te naprawy, które będą mogły być przeprowadzone na miejscu będą realizowane na miejscu, a te naprawy, które będą wymagały zabrania sprzętu z miejsca instalacji będą mogły być wykonywane w serwisie poza miejscem instalacji.</w:t>
      </w:r>
    </w:p>
    <w:p w:rsidR="00904CB5" w:rsidRPr="00904CB5" w:rsidRDefault="00904CB5" w:rsidP="00904CB5">
      <w:pPr>
        <w:ind w:left="284" w:hanging="284"/>
        <w:jc w:val="both"/>
        <w:rPr>
          <w:rFonts w:ascii="Tahoma" w:hAnsi="Tahoma" w:cs="Tahoma"/>
          <w:color w:val="548DD4"/>
          <w:sz w:val="16"/>
          <w:szCs w:val="16"/>
        </w:rPr>
      </w:pPr>
      <w:r w:rsidRPr="00904CB5">
        <w:rPr>
          <w:rFonts w:ascii="Tahoma" w:hAnsi="Tahoma" w:cs="Tahoma"/>
          <w:color w:val="548DD4"/>
          <w:sz w:val="16"/>
          <w:szCs w:val="16"/>
        </w:rPr>
        <w:t>Odp.: Zamawiający jednoznacznie określa, że świadczenie gwarancji ma być świadczone w miejscu instalacji serwera.</w:t>
      </w:r>
    </w:p>
    <w:p w:rsidR="00904CB5" w:rsidRPr="00904CB5" w:rsidRDefault="00904CB5" w:rsidP="00904CB5">
      <w:pPr>
        <w:pStyle w:val="Teksttreci20"/>
        <w:shd w:val="clear" w:color="auto" w:fill="auto"/>
        <w:spacing w:after="0" w:line="240" w:lineRule="auto"/>
        <w:ind w:left="284" w:hanging="284"/>
        <w:rPr>
          <w:rFonts w:ascii="Tahoma" w:hAnsi="Tahoma" w:cs="Tahoma"/>
          <w:color w:val="FF0000"/>
          <w:sz w:val="16"/>
          <w:szCs w:val="16"/>
        </w:rPr>
      </w:pPr>
    </w:p>
    <w:p w:rsidR="00904CB5" w:rsidRPr="00904CB5" w:rsidRDefault="00904CB5" w:rsidP="00904CB5">
      <w:pPr>
        <w:pStyle w:val="Nagwek21"/>
        <w:keepNext/>
        <w:keepLines/>
        <w:shd w:val="clear" w:color="auto" w:fill="auto"/>
        <w:spacing w:before="0" w:after="0" w:line="240" w:lineRule="auto"/>
        <w:ind w:left="284" w:hanging="284"/>
        <w:rPr>
          <w:rFonts w:ascii="Tahoma" w:hAnsi="Tahoma" w:cs="Tahoma"/>
          <w:color w:val="000000"/>
          <w:sz w:val="16"/>
          <w:szCs w:val="16"/>
        </w:rPr>
      </w:pPr>
      <w:bookmarkStart w:id="4" w:name="bookmark5"/>
    </w:p>
    <w:p w:rsidR="00904CB5" w:rsidRPr="00904CB5" w:rsidRDefault="00904CB5" w:rsidP="00904CB5">
      <w:pPr>
        <w:pStyle w:val="Nagwek21"/>
        <w:keepNext/>
        <w:keepLines/>
        <w:shd w:val="clear" w:color="auto" w:fill="auto"/>
        <w:spacing w:before="0" w:after="0" w:line="240" w:lineRule="auto"/>
        <w:ind w:left="284" w:hanging="284"/>
        <w:rPr>
          <w:rFonts w:ascii="Tahoma" w:hAnsi="Tahoma" w:cs="Tahoma"/>
          <w:sz w:val="16"/>
          <w:szCs w:val="16"/>
        </w:rPr>
      </w:pPr>
      <w:r w:rsidRPr="00904CB5">
        <w:rPr>
          <w:rFonts w:ascii="Tahoma" w:hAnsi="Tahoma" w:cs="Tahoma"/>
          <w:color w:val="000000"/>
          <w:sz w:val="16"/>
          <w:szCs w:val="16"/>
        </w:rPr>
        <w:t>Pytanie nr 3 do §5 ust. 5 wzoru umowy:</w:t>
      </w:r>
      <w:bookmarkEnd w:id="4"/>
    </w:p>
    <w:p w:rsidR="00904CB5" w:rsidRPr="00904CB5" w:rsidRDefault="00904CB5" w:rsidP="00904CB5">
      <w:pPr>
        <w:pStyle w:val="Teksttreci20"/>
        <w:shd w:val="clear" w:color="auto" w:fill="auto"/>
        <w:spacing w:after="0" w:line="240" w:lineRule="auto"/>
        <w:ind w:left="284" w:hanging="284"/>
        <w:jc w:val="left"/>
        <w:rPr>
          <w:rFonts w:ascii="Tahoma" w:hAnsi="Tahoma" w:cs="Tahoma"/>
          <w:sz w:val="16"/>
          <w:szCs w:val="16"/>
        </w:rPr>
      </w:pPr>
      <w:r w:rsidRPr="00904CB5">
        <w:rPr>
          <w:rFonts w:ascii="Tahoma" w:hAnsi="Tahoma" w:cs="Tahoma"/>
          <w:color w:val="000000"/>
          <w:sz w:val="16"/>
          <w:szCs w:val="16"/>
        </w:rPr>
        <w:t>Prosimy o wyjaśnienie jak przedmiotowe postanowienie należy rozumieć w kontekście zawartego na stronie nr 4 SIWZ wymagania dla serwera: „fix 4h".</w:t>
      </w:r>
    </w:p>
    <w:p w:rsidR="00904CB5" w:rsidRPr="00904CB5" w:rsidRDefault="00904CB5" w:rsidP="00904CB5">
      <w:pPr>
        <w:pStyle w:val="Teksttreci20"/>
        <w:shd w:val="clear" w:color="auto" w:fill="auto"/>
        <w:spacing w:after="0" w:line="240" w:lineRule="auto"/>
        <w:ind w:left="284" w:hanging="284"/>
        <w:jc w:val="left"/>
        <w:rPr>
          <w:rFonts w:ascii="Tahoma" w:hAnsi="Tahoma" w:cs="Tahoma"/>
          <w:color w:val="000000"/>
          <w:sz w:val="16"/>
          <w:szCs w:val="16"/>
        </w:rPr>
      </w:pPr>
      <w:r w:rsidRPr="00904CB5">
        <w:rPr>
          <w:rFonts w:ascii="Tahoma" w:hAnsi="Tahoma" w:cs="Tahoma"/>
          <w:color w:val="000000"/>
          <w:sz w:val="16"/>
          <w:szCs w:val="16"/>
        </w:rPr>
        <w:t xml:space="preserve">Prosimy o jednoznaczne określenie jaki wykonawca będzie miał czas na usunięcie zgłoszonej usterki. </w:t>
      </w:r>
    </w:p>
    <w:p w:rsidR="00904CB5" w:rsidRPr="00904CB5" w:rsidRDefault="00904CB5" w:rsidP="00904CB5">
      <w:pPr>
        <w:pStyle w:val="Teksttreci20"/>
        <w:shd w:val="clear" w:color="auto" w:fill="auto"/>
        <w:spacing w:after="0" w:line="240" w:lineRule="auto"/>
        <w:ind w:left="284" w:hanging="284"/>
        <w:rPr>
          <w:rFonts w:ascii="Tahoma" w:hAnsi="Tahoma" w:cs="Tahoma"/>
          <w:color w:val="548DD4"/>
          <w:sz w:val="16"/>
          <w:szCs w:val="16"/>
        </w:rPr>
      </w:pPr>
      <w:r w:rsidRPr="00904CB5">
        <w:rPr>
          <w:rFonts w:ascii="Tahoma" w:hAnsi="Tahoma" w:cs="Tahoma"/>
          <w:color w:val="548DD4"/>
          <w:sz w:val="16"/>
          <w:szCs w:val="16"/>
        </w:rPr>
        <w:t>Odp.: Zamawiający zmienia §5 ust. 5  projektu umowy w następujący sposób:</w:t>
      </w:r>
    </w:p>
    <w:p w:rsidR="00904CB5" w:rsidRPr="00904CB5" w:rsidRDefault="00904CB5" w:rsidP="00904CB5">
      <w:pPr>
        <w:pStyle w:val="Teksttreci20"/>
        <w:shd w:val="clear" w:color="auto" w:fill="auto"/>
        <w:spacing w:after="0" w:line="240" w:lineRule="auto"/>
        <w:ind w:left="284" w:hanging="284"/>
        <w:rPr>
          <w:rFonts w:ascii="Tahoma" w:hAnsi="Tahoma" w:cs="Tahoma"/>
          <w:color w:val="548DD4"/>
          <w:sz w:val="16"/>
          <w:szCs w:val="16"/>
        </w:rPr>
      </w:pPr>
      <w:r w:rsidRPr="00904CB5">
        <w:rPr>
          <w:rFonts w:ascii="Tahoma" w:hAnsi="Tahoma" w:cs="Tahoma"/>
          <w:color w:val="548DD4"/>
          <w:sz w:val="16"/>
          <w:szCs w:val="16"/>
        </w:rPr>
        <w:t>Było: „Czas skutecznej naprawy wynosi: 14 dni od momentu zgłoszenia wad, usterek sprzętu w trybie określonym w § 5 pkt 3.”</w:t>
      </w:r>
    </w:p>
    <w:p w:rsidR="00904CB5" w:rsidRPr="00904CB5" w:rsidRDefault="00904CB5" w:rsidP="00904CB5">
      <w:pPr>
        <w:pStyle w:val="Teksttreci20"/>
        <w:shd w:val="clear" w:color="auto" w:fill="auto"/>
        <w:spacing w:after="0" w:line="240" w:lineRule="auto"/>
        <w:ind w:left="284" w:hanging="284"/>
        <w:rPr>
          <w:rFonts w:ascii="Tahoma" w:hAnsi="Tahoma" w:cs="Tahoma"/>
          <w:color w:val="548DD4"/>
          <w:sz w:val="16"/>
          <w:szCs w:val="16"/>
        </w:rPr>
      </w:pPr>
      <w:r w:rsidRPr="00904CB5">
        <w:rPr>
          <w:rFonts w:ascii="Tahoma" w:hAnsi="Tahoma" w:cs="Tahoma"/>
          <w:color w:val="548DD4"/>
          <w:sz w:val="16"/>
          <w:szCs w:val="16"/>
        </w:rPr>
        <w:t>Jest: „Czas skutecznej naprawy wynosi: 48 h od momentu zgłoszenia wad, usterek sprzętu w trybie określonym w § 5 pkt 3.”</w:t>
      </w:r>
    </w:p>
    <w:p w:rsidR="00904CB5" w:rsidRPr="00904CB5" w:rsidRDefault="00904CB5" w:rsidP="00904CB5">
      <w:pPr>
        <w:pStyle w:val="Teksttreci20"/>
        <w:shd w:val="clear" w:color="auto" w:fill="auto"/>
        <w:spacing w:after="0" w:line="240" w:lineRule="auto"/>
        <w:ind w:left="284" w:hanging="284"/>
        <w:rPr>
          <w:rStyle w:val="Pogrubienie"/>
          <w:rFonts w:ascii="Tahoma" w:hAnsi="Tahoma" w:cs="Tahoma"/>
          <w:b/>
          <w:bCs/>
          <w:sz w:val="16"/>
          <w:szCs w:val="16"/>
        </w:rPr>
      </w:pPr>
      <w:r w:rsidRPr="00904CB5">
        <w:rPr>
          <w:rFonts w:ascii="Tahoma" w:hAnsi="Tahoma" w:cs="Tahoma"/>
          <w:color w:val="548DD4"/>
          <w:sz w:val="16"/>
          <w:szCs w:val="16"/>
        </w:rPr>
        <w:t xml:space="preserve"> </w:t>
      </w:r>
    </w:p>
    <w:p w:rsidR="00904CB5" w:rsidRPr="00904CB5" w:rsidRDefault="00904CB5" w:rsidP="00904CB5">
      <w:pPr>
        <w:pStyle w:val="Teksttreci20"/>
        <w:shd w:val="clear" w:color="auto" w:fill="auto"/>
        <w:spacing w:after="0" w:line="240" w:lineRule="auto"/>
        <w:ind w:left="284" w:hanging="284"/>
        <w:jc w:val="left"/>
        <w:rPr>
          <w:rFonts w:ascii="Tahoma" w:hAnsi="Tahoma" w:cs="Tahoma"/>
          <w:sz w:val="16"/>
          <w:szCs w:val="16"/>
        </w:rPr>
      </w:pPr>
      <w:r w:rsidRPr="00904CB5">
        <w:rPr>
          <w:rStyle w:val="Pogrubienie"/>
          <w:rFonts w:ascii="Tahoma" w:hAnsi="Tahoma" w:cs="Tahoma"/>
          <w:b/>
          <w:bCs/>
          <w:sz w:val="16"/>
          <w:szCs w:val="16"/>
        </w:rPr>
        <w:t>Pytanie nr 4 do §5 ust. 7:</w:t>
      </w:r>
    </w:p>
    <w:p w:rsidR="00904CB5" w:rsidRPr="00904CB5" w:rsidRDefault="00904CB5" w:rsidP="00904CB5">
      <w:pPr>
        <w:pStyle w:val="Teksttreci20"/>
        <w:shd w:val="clear" w:color="auto" w:fill="auto"/>
        <w:spacing w:after="0" w:line="240" w:lineRule="auto"/>
        <w:ind w:left="284" w:hanging="284"/>
        <w:jc w:val="left"/>
        <w:rPr>
          <w:rFonts w:ascii="Tahoma" w:hAnsi="Tahoma" w:cs="Tahoma"/>
          <w:sz w:val="16"/>
          <w:szCs w:val="16"/>
        </w:rPr>
      </w:pPr>
      <w:r w:rsidRPr="00904CB5">
        <w:rPr>
          <w:rFonts w:ascii="Tahoma" w:hAnsi="Tahoma" w:cs="Tahoma"/>
          <w:color w:val="000000"/>
          <w:sz w:val="16"/>
          <w:szCs w:val="16"/>
        </w:rPr>
        <w:t>Zgodnie z ogólnymi warunkami gwarancji producenta w okresie trwania okresu gwarancji producent będzie zapewniał dostęp do części zamiennych oraz wykonywanie napraw.</w:t>
      </w:r>
    </w:p>
    <w:p w:rsidR="00904CB5" w:rsidRPr="00904CB5" w:rsidRDefault="00904CB5" w:rsidP="00904CB5">
      <w:pPr>
        <w:pStyle w:val="Teksttreci20"/>
        <w:shd w:val="clear" w:color="auto" w:fill="auto"/>
        <w:spacing w:after="0" w:line="240" w:lineRule="auto"/>
        <w:ind w:left="284" w:hanging="284"/>
        <w:jc w:val="left"/>
        <w:rPr>
          <w:rFonts w:ascii="Tahoma" w:hAnsi="Tahoma" w:cs="Tahoma"/>
          <w:sz w:val="16"/>
          <w:szCs w:val="16"/>
        </w:rPr>
      </w:pPr>
      <w:r w:rsidRPr="00904CB5">
        <w:rPr>
          <w:rFonts w:ascii="Tahoma" w:hAnsi="Tahoma" w:cs="Tahoma"/>
          <w:color w:val="000000"/>
          <w:sz w:val="16"/>
          <w:szCs w:val="16"/>
        </w:rPr>
        <w:t>W sytuacji wystąpienie awarii, która uniemożliwia naprawę serwera, producent po audycie podejmuje decyzję wymiany kluczowego elementów lub całego serwera na nowy.</w:t>
      </w:r>
    </w:p>
    <w:p w:rsidR="00904CB5" w:rsidRPr="00904CB5" w:rsidRDefault="00904CB5" w:rsidP="00904CB5">
      <w:pPr>
        <w:pStyle w:val="Teksttreci20"/>
        <w:shd w:val="clear" w:color="auto" w:fill="auto"/>
        <w:spacing w:after="0" w:line="240" w:lineRule="auto"/>
        <w:ind w:left="284" w:hanging="284"/>
        <w:rPr>
          <w:rFonts w:ascii="Tahoma" w:hAnsi="Tahoma" w:cs="Tahoma"/>
          <w:sz w:val="16"/>
          <w:szCs w:val="16"/>
        </w:rPr>
      </w:pPr>
      <w:r w:rsidRPr="00904CB5">
        <w:rPr>
          <w:rFonts w:ascii="Tahoma" w:hAnsi="Tahoma" w:cs="Tahoma"/>
          <w:color w:val="000000"/>
          <w:sz w:val="16"/>
          <w:szCs w:val="16"/>
        </w:rPr>
        <w:t>Wymagania określone w projekcie umowy rodzą skutki dla Wykonawcy polegające na konieczności dostarczenia nowego serwera w sytuacji wystąpienia 4 jakichkolwiek napraw tj. usuwania małoistotnych usterek/awarii, wymiany części składowych serwera np. uszkodzenie dysku, pamięci RAM, diody sygnalizacyjnej, zasilacza lub drobnego błędu w oprogramowaniu serwera, itp., które to uszkodzone elementy w istotny sposób nie wpływają na prace serwera.</w:t>
      </w:r>
    </w:p>
    <w:p w:rsidR="00904CB5" w:rsidRPr="00904CB5" w:rsidRDefault="00904CB5" w:rsidP="00904CB5">
      <w:pPr>
        <w:pStyle w:val="Teksttreci20"/>
        <w:shd w:val="clear" w:color="auto" w:fill="auto"/>
        <w:spacing w:after="0" w:line="240" w:lineRule="auto"/>
        <w:ind w:left="284" w:hanging="284"/>
        <w:rPr>
          <w:rFonts w:ascii="Tahoma" w:hAnsi="Tahoma" w:cs="Tahoma"/>
          <w:sz w:val="16"/>
          <w:szCs w:val="16"/>
        </w:rPr>
      </w:pPr>
      <w:r w:rsidRPr="00904CB5">
        <w:rPr>
          <w:rFonts w:ascii="Tahoma" w:hAnsi="Tahoma" w:cs="Tahoma"/>
          <w:color w:val="000000"/>
          <w:sz w:val="16"/>
          <w:szCs w:val="16"/>
        </w:rPr>
        <w:t>Wykonawca nie jest w stanie określić na etapie składania oferty, czy wystąpią 4 awarie serwera i jaką rezerwę musi przewidzieć na skutki związane z ewentualną wymianą całego serwera na nowy.</w:t>
      </w:r>
    </w:p>
    <w:p w:rsidR="00904CB5" w:rsidRPr="00904CB5" w:rsidRDefault="00904CB5" w:rsidP="00904CB5">
      <w:pPr>
        <w:pStyle w:val="Teksttreci20"/>
        <w:shd w:val="clear" w:color="auto" w:fill="auto"/>
        <w:spacing w:after="0" w:line="240" w:lineRule="auto"/>
        <w:ind w:left="284" w:hanging="284"/>
        <w:rPr>
          <w:rFonts w:ascii="Tahoma" w:hAnsi="Tahoma" w:cs="Tahoma"/>
          <w:color w:val="000000"/>
          <w:sz w:val="16"/>
          <w:szCs w:val="16"/>
        </w:rPr>
      </w:pPr>
      <w:r w:rsidRPr="00904CB5">
        <w:rPr>
          <w:rFonts w:ascii="Tahoma" w:hAnsi="Tahoma" w:cs="Tahoma"/>
          <w:color w:val="000000"/>
          <w:sz w:val="16"/>
          <w:szCs w:val="16"/>
        </w:rPr>
        <w:t>W związku z tym prosimy o wykreślenie tego zapisu lub jego zmianę na: 7. W sytuacji wystąpienia 4 napraw istotnych elementów serwera np. płyty głównej Zamawiającemu będzie przysługiwać prawo żądania wymiany tego elementu na nowy, wolny od wad, uszkodzeń i o parametrach nie gorszych niż określone w § 1 niniejszej umowy.</w:t>
      </w:r>
    </w:p>
    <w:p w:rsidR="00904CB5" w:rsidRPr="00904CB5" w:rsidRDefault="00904CB5" w:rsidP="00904CB5">
      <w:pPr>
        <w:pStyle w:val="Teksttreci20"/>
        <w:shd w:val="clear" w:color="auto" w:fill="auto"/>
        <w:spacing w:after="0" w:line="240" w:lineRule="auto"/>
        <w:ind w:left="284" w:hanging="284"/>
        <w:rPr>
          <w:rFonts w:ascii="Tahoma" w:hAnsi="Tahoma" w:cs="Tahoma"/>
          <w:color w:val="548DD4"/>
          <w:sz w:val="16"/>
          <w:szCs w:val="16"/>
        </w:rPr>
      </w:pPr>
      <w:r w:rsidRPr="00904CB5">
        <w:rPr>
          <w:rFonts w:ascii="Tahoma" w:hAnsi="Tahoma" w:cs="Tahoma"/>
          <w:color w:val="548DD4"/>
          <w:sz w:val="16"/>
          <w:szCs w:val="16"/>
        </w:rPr>
        <w:t>Odp.: Zamawiający zmienia §5 ust. 7  projektu umowy w następujący sposób:</w:t>
      </w:r>
    </w:p>
    <w:p w:rsidR="00904CB5" w:rsidRPr="00904CB5" w:rsidRDefault="00904CB5" w:rsidP="00904CB5">
      <w:pPr>
        <w:pStyle w:val="Teksttreci20"/>
        <w:shd w:val="clear" w:color="auto" w:fill="auto"/>
        <w:spacing w:after="0" w:line="240" w:lineRule="auto"/>
        <w:ind w:left="284" w:hanging="284"/>
        <w:rPr>
          <w:rFonts w:ascii="Tahoma" w:hAnsi="Tahoma" w:cs="Tahoma"/>
          <w:color w:val="548DD4"/>
          <w:sz w:val="16"/>
          <w:szCs w:val="16"/>
        </w:rPr>
      </w:pPr>
      <w:r w:rsidRPr="00904CB5">
        <w:rPr>
          <w:rFonts w:ascii="Tahoma" w:hAnsi="Tahoma" w:cs="Tahoma"/>
          <w:color w:val="548DD4"/>
          <w:sz w:val="16"/>
          <w:szCs w:val="16"/>
        </w:rPr>
        <w:t>Było: „Jeśli sprzęt będzie naprawiany 4 razy, Zamawiającemu będzie przysługiwać prawo żądania wymiany tego sprzętu na nowy, wolny od wad, uszkodzeń i o parametrach nie gorszych niż określone w § 1 niniejszej umowy..”</w:t>
      </w:r>
    </w:p>
    <w:p w:rsidR="00904CB5" w:rsidRPr="00904CB5" w:rsidRDefault="00904CB5" w:rsidP="00904CB5">
      <w:pPr>
        <w:pStyle w:val="Teksttreci20"/>
        <w:shd w:val="clear" w:color="auto" w:fill="auto"/>
        <w:spacing w:after="0" w:line="240" w:lineRule="auto"/>
        <w:ind w:left="284" w:hanging="284"/>
        <w:rPr>
          <w:rFonts w:ascii="Tahoma" w:hAnsi="Tahoma" w:cs="Tahoma"/>
          <w:color w:val="548DD4"/>
          <w:sz w:val="16"/>
          <w:szCs w:val="16"/>
        </w:rPr>
      </w:pPr>
      <w:r w:rsidRPr="00904CB5">
        <w:rPr>
          <w:rFonts w:ascii="Tahoma" w:hAnsi="Tahoma" w:cs="Tahoma"/>
          <w:color w:val="548DD4"/>
          <w:sz w:val="16"/>
          <w:szCs w:val="16"/>
        </w:rPr>
        <w:t>Jest: „W sytuacji wystąpienia 4 napraw elementów serwera Zamawiającemu będzie przysługiwać prawo żądania wymiany tego elementu na nowy, wolny od wad, uszkodzeń i o parametrach nie gorszych niż określone w § 1 niniejszej umowy.”</w:t>
      </w:r>
    </w:p>
    <w:p w:rsidR="00904CB5" w:rsidRPr="00904CB5" w:rsidRDefault="00904CB5" w:rsidP="00904CB5">
      <w:pPr>
        <w:pStyle w:val="Teksttreci20"/>
        <w:shd w:val="clear" w:color="auto" w:fill="auto"/>
        <w:spacing w:after="0" w:line="240" w:lineRule="auto"/>
        <w:ind w:left="284" w:hanging="284"/>
        <w:rPr>
          <w:rFonts w:ascii="Tahoma" w:hAnsi="Tahoma" w:cs="Tahoma"/>
          <w:sz w:val="16"/>
          <w:szCs w:val="16"/>
        </w:rPr>
      </w:pPr>
    </w:p>
    <w:p w:rsidR="00904CB5" w:rsidRPr="00904CB5" w:rsidRDefault="00904CB5" w:rsidP="00904CB5">
      <w:pPr>
        <w:pStyle w:val="Nagwek21"/>
        <w:keepNext/>
        <w:keepLines/>
        <w:shd w:val="clear" w:color="auto" w:fill="auto"/>
        <w:spacing w:before="0" w:after="0" w:line="240" w:lineRule="auto"/>
        <w:ind w:left="284" w:hanging="284"/>
        <w:jc w:val="both"/>
        <w:rPr>
          <w:rFonts w:ascii="Tahoma" w:hAnsi="Tahoma" w:cs="Tahoma"/>
          <w:sz w:val="16"/>
          <w:szCs w:val="16"/>
        </w:rPr>
      </w:pPr>
      <w:bookmarkStart w:id="5" w:name="bookmark6"/>
      <w:r w:rsidRPr="00904CB5">
        <w:rPr>
          <w:rFonts w:ascii="Tahoma" w:hAnsi="Tahoma" w:cs="Tahoma"/>
          <w:color w:val="000000"/>
          <w:sz w:val="16"/>
          <w:szCs w:val="16"/>
        </w:rPr>
        <w:t xml:space="preserve">Pytanie nr 4 a do §5 ust. </w:t>
      </w:r>
      <w:r w:rsidRPr="00904CB5">
        <w:rPr>
          <w:rStyle w:val="Nagwek2Kursywa"/>
          <w:rFonts w:ascii="Tahoma" w:hAnsi="Tahoma" w:cs="Tahoma"/>
          <w:sz w:val="16"/>
          <w:szCs w:val="16"/>
        </w:rPr>
        <w:t>7:</w:t>
      </w:r>
      <w:bookmarkEnd w:id="5"/>
    </w:p>
    <w:p w:rsidR="00904CB5" w:rsidRPr="00904CB5" w:rsidRDefault="00904CB5" w:rsidP="00904CB5">
      <w:pPr>
        <w:pStyle w:val="Teksttreci20"/>
        <w:shd w:val="clear" w:color="auto" w:fill="auto"/>
        <w:spacing w:after="0" w:line="240" w:lineRule="auto"/>
        <w:ind w:left="284" w:hanging="284"/>
        <w:rPr>
          <w:rFonts w:ascii="Tahoma" w:hAnsi="Tahoma" w:cs="Tahoma"/>
          <w:sz w:val="16"/>
          <w:szCs w:val="16"/>
        </w:rPr>
      </w:pPr>
      <w:r w:rsidRPr="00904CB5">
        <w:rPr>
          <w:rFonts w:ascii="Tahoma" w:hAnsi="Tahoma" w:cs="Tahoma"/>
          <w:color w:val="000000"/>
          <w:sz w:val="16"/>
          <w:szCs w:val="16"/>
        </w:rPr>
        <w:t>Wnioskujemy o wyłączenie z warunków gwarancyjnych postanowień art. 581 § 1 kodeksu cywilnego. Przedmiot umowy obejmuje dostawę sprzętu informatycznego specjalistycznego przeznaczonego do ciągłej pracy.</w:t>
      </w:r>
    </w:p>
    <w:p w:rsidR="00904CB5" w:rsidRPr="00904CB5" w:rsidRDefault="00904CB5" w:rsidP="00904CB5">
      <w:pPr>
        <w:pStyle w:val="Teksttreci20"/>
        <w:shd w:val="clear" w:color="auto" w:fill="auto"/>
        <w:spacing w:after="0" w:line="240" w:lineRule="auto"/>
        <w:ind w:left="284" w:hanging="284"/>
        <w:rPr>
          <w:rFonts w:ascii="Tahoma" w:hAnsi="Tahoma" w:cs="Tahoma"/>
          <w:sz w:val="16"/>
          <w:szCs w:val="16"/>
        </w:rPr>
      </w:pPr>
      <w:r w:rsidRPr="00904CB5">
        <w:rPr>
          <w:rFonts w:ascii="Tahoma" w:hAnsi="Tahoma" w:cs="Tahoma"/>
          <w:color w:val="000000"/>
          <w:sz w:val="16"/>
          <w:szCs w:val="16"/>
        </w:rPr>
        <w:t>Producenci w okresie trwania wykupionej gwarancji zapewniają wymianę uszkodzonych elemtów, dostęp do upgrade oprogramowania, nie zapewniają jednak biegu okresu gwarancji od nowa na kolejne okresy, w przypadku wymiany lub istotnej naprawy.</w:t>
      </w:r>
    </w:p>
    <w:p w:rsidR="00904CB5" w:rsidRPr="00904CB5" w:rsidRDefault="00904CB5" w:rsidP="00904CB5">
      <w:pPr>
        <w:pStyle w:val="Teksttreci20"/>
        <w:shd w:val="clear" w:color="auto" w:fill="auto"/>
        <w:spacing w:after="0" w:line="240" w:lineRule="auto"/>
        <w:ind w:left="284" w:hanging="284"/>
        <w:rPr>
          <w:rFonts w:ascii="Tahoma" w:hAnsi="Tahoma" w:cs="Tahoma"/>
          <w:sz w:val="16"/>
          <w:szCs w:val="16"/>
        </w:rPr>
      </w:pPr>
      <w:r w:rsidRPr="00904CB5">
        <w:rPr>
          <w:rFonts w:ascii="Tahoma" w:hAnsi="Tahoma" w:cs="Tahoma"/>
          <w:color w:val="000000"/>
          <w:sz w:val="16"/>
          <w:szCs w:val="16"/>
        </w:rPr>
        <w:t>Na etapie przygotowania oferty, żaden z oferentów nie jest w stanie określić na jak długi okres konieczne byłoby wykupienie przedłużenia okresu gwarancji na wymieniane elementy u producenta. W konsekwencji przy obecnych postanowień umowy w zakresie gwarancji żaden z oferentów nie będzie w stanie właściwie skalkulować oferty cenowej.</w:t>
      </w:r>
    </w:p>
    <w:p w:rsidR="00904CB5" w:rsidRPr="00904CB5" w:rsidRDefault="00904CB5" w:rsidP="00904CB5">
      <w:pPr>
        <w:pStyle w:val="Teksttreci20"/>
        <w:shd w:val="clear" w:color="auto" w:fill="auto"/>
        <w:spacing w:after="0" w:line="240" w:lineRule="auto"/>
        <w:ind w:left="284" w:hanging="284"/>
        <w:rPr>
          <w:rFonts w:ascii="Tahoma" w:hAnsi="Tahoma" w:cs="Tahoma"/>
          <w:sz w:val="16"/>
          <w:szCs w:val="16"/>
        </w:rPr>
      </w:pPr>
      <w:r w:rsidRPr="00904CB5">
        <w:rPr>
          <w:rFonts w:ascii="Tahoma" w:hAnsi="Tahoma" w:cs="Tahoma"/>
          <w:color w:val="000000"/>
          <w:sz w:val="16"/>
          <w:szCs w:val="16"/>
        </w:rPr>
        <w:t>W związku z powyższym, prosimy o wprowadzenie do §5 ust. 7a o następującym brzmieniu:</w:t>
      </w:r>
    </w:p>
    <w:p w:rsidR="00904CB5" w:rsidRPr="00904CB5" w:rsidRDefault="00904CB5" w:rsidP="00904CB5">
      <w:pPr>
        <w:pStyle w:val="Teksttreci20"/>
        <w:shd w:val="clear" w:color="auto" w:fill="auto"/>
        <w:spacing w:after="0" w:line="240" w:lineRule="auto"/>
        <w:ind w:left="284" w:hanging="284"/>
        <w:rPr>
          <w:rFonts w:ascii="Tahoma" w:hAnsi="Tahoma" w:cs="Tahoma"/>
          <w:color w:val="000000"/>
          <w:sz w:val="16"/>
          <w:szCs w:val="16"/>
        </w:rPr>
      </w:pPr>
      <w:r w:rsidRPr="00904CB5">
        <w:rPr>
          <w:rFonts w:ascii="Tahoma" w:hAnsi="Tahoma" w:cs="Tahoma"/>
          <w:color w:val="000000"/>
          <w:sz w:val="16"/>
          <w:szCs w:val="16"/>
        </w:rPr>
        <w:t>„7a. Postanowienia art. 581 § 1 nie znajdują zastosowania. W przypadku jeżeli świadczenie gwarancji będzie polegać na istotnej naprawie lub wymianie wadliwego przedmiotu umowy lub jego elementu na wolne od wad, okres gwarancji odpowiednio dla przedmiotu umowy lub dla tego elementu będzie zrównany z okresem gwarancji sprzętu i będzie wynosił 36 miesięcy od podpisania stosownego protokołu odbioru."</w:t>
      </w:r>
    </w:p>
    <w:p w:rsidR="00904CB5" w:rsidRPr="00904CB5" w:rsidRDefault="00904CB5" w:rsidP="00904CB5">
      <w:pPr>
        <w:pStyle w:val="Teksttreci20"/>
        <w:shd w:val="clear" w:color="auto" w:fill="auto"/>
        <w:spacing w:after="0" w:line="240" w:lineRule="auto"/>
        <w:ind w:left="284" w:hanging="284"/>
        <w:rPr>
          <w:rFonts w:ascii="Tahoma" w:hAnsi="Tahoma" w:cs="Tahoma"/>
          <w:color w:val="548DD4"/>
          <w:sz w:val="16"/>
          <w:szCs w:val="16"/>
        </w:rPr>
      </w:pPr>
      <w:r w:rsidRPr="00904CB5">
        <w:rPr>
          <w:rFonts w:ascii="Tahoma" w:hAnsi="Tahoma" w:cs="Tahoma"/>
          <w:color w:val="548DD4"/>
          <w:sz w:val="16"/>
          <w:szCs w:val="16"/>
        </w:rPr>
        <w:t>Odp.: Zamawiający nie wyraża zgody na wyłączenie z warunków gwarancji postanowień art. 581 § 1 kc.</w:t>
      </w:r>
    </w:p>
    <w:p w:rsidR="00904CB5" w:rsidRPr="00904CB5" w:rsidRDefault="00904CB5" w:rsidP="00904CB5">
      <w:pPr>
        <w:pStyle w:val="Nagwek21"/>
        <w:keepNext/>
        <w:keepLines/>
        <w:shd w:val="clear" w:color="auto" w:fill="auto"/>
        <w:spacing w:before="0" w:after="0" w:line="240" w:lineRule="auto"/>
        <w:ind w:left="284" w:hanging="284"/>
        <w:jc w:val="both"/>
        <w:rPr>
          <w:rFonts w:ascii="Tahoma" w:hAnsi="Tahoma" w:cs="Tahoma"/>
          <w:color w:val="000000"/>
          <w:sz w:val="16"/>
          <w:szCs w:val="16"/>
        </w:rPr>
      </w:pPr>
      <w:bookmarkStart w:id="6" w:name="bookmark7"/>
    </w:p>
    <w:p w:rsidR="00904CB5" w:rsidRPr="00904CB5" w:rsidRDefault="00904CB5" w:rsidP="00904CB5">
      <w:pPr>
        <w:pStyle w:val="Nagwek21"/>
        <w:keepNext/>
        <w:keepLines/>
        <w:shd w:val="clear" w:color="auto" w:fill="auto"/>
        <w:spacing w:before="0" w:after="0" w:line="240" w:lineRule="auto"/>
        <w:ind w:left="284" w:hanging="284"/>
        <w:jc w:val="both"/>
        <w:rPr>
          <w:rFonts w:ascii="Tahoma" w:hAnsi="Tahoma" w:cs="Tahoma"/>
          <w:sz w:val="16"/>
          <w:szCs w:val="16"/>
        </w:rPr>
      </w:pPr>
      <w:r w:rsidRPr="00904CB5">
        <w:rPr>
          <w:rFonts w:ascii="Tahoma" w:hAnsi="Tahoma" w:cs="Tahoma"/>
          <w:color w:val="000000"/>
          <w:sz w:val="16"/>
          <w:szCs w:val="16"/>
        </w:rPr>
        <w:t>Pytanie nr 5 do §5 ust. 11:</w:t>
      </w:r>
      <w:bookmarkEnd w:id="6"/>
    </w:p>
    <w:p w:rsidR="00904CB5" w:rsidRPr="00904CB5" w:rsidRDefault="00904CB5" w:rsidP="00904CB5">
      <w:pPr>
        <w:pStyle w:val="Teksttreci20"/>
        <w:shd w:val="clear" w:color="auto" w:fill="auto"/>
        <w:spacing w:after="0" w:line="240" w:lineRule="auto"/>
        <w:ind w:left="284" w:hanging="284"/>
        <w:rPr>
          <w:rFonts w:ascii="Tahoma" w:hAnsi="Tahoma" w:cs="Tahoma"/>
          <w:color w:val="000000"/>
          <w:sz w:val="16"/>
          <w:szCs w:val="16"/>
        </w:rPr>
      </w:pPr>
      <w:r w:rsidRPr="00904CB5">
        <w:rPr>
          <w:rFonts w:ascii="Tahoma" w:hAnsi="Tahoma" w:cs="Tahoma"/>
          <w:color w:val="000000"/>
          <w:sz w:val="16"/>
          <w:szCs w:val="16"/>
        </w:rPr>
        <w:t>Prosimy o wyjaśnienie, czy z uwagi na fakt, że dostarczany sprzęt musi być objęty gwarancją producenta, Zamawiający wyrazi zgodę, aby wyłączona została odpowiedzialność Wykonawcy z tytuły rękojmi?</w:t>
      </w:r>
    </w:p>
    <w:p w:rsidR="00904CB5" w:rsidRPr="00904CB5" w:rsidRDefault="00904CB5" w:rsidP="00904CB5">
      <w:pPr>
        <w:pStyle w:val="Teksttreci20"/>
        <w:shd w:val="clear" w:color="auto" w:fill="auto"/>
        <w:spacing w:after="0" w:line="240" w:lineRule="auto"/>
        <w:ind w:left="284" w:hanging="284"/>
        <w:rPr>
          <w:rFonts w:ascii="Tahoma" w:hAnsi="Tahoma" w:cs="Tahoma"/>
          <w:color w:val="548DD4"/>
          <w:sz w:val="16"/>
          <w:szCs w:val="16"/>
        </w:rPr>
      </w:pPr>
      <w:r w:rsidRPr="00904CB5">
        <w:rPr>
          <w:rFonts w:ascii="Tahoma" w:hAnsi="Tahoma" w:cs="Tahoma"/>
          <w:color w:val="548DD4"/>
          <w:sz w:val="16"/>
          <w:szCs w:val="16"/>
        </w:rPr>
        <w:t>Odp.: Zamawiający nie wyraża zgody na wyłączenie odpowiedzialność Wykonawcy z tytuły rękojmi.</w:t>
      </w:r>
    </w:p>
    <w:p w:rsidR="00904CB5" w:rsidRPr="00904CB5" w:rsidRDefault="00904CB5" w:rsidP="00904CB5">
      <w:pPr>
        <w:rPr>
          <w:rFonts w:ascii="Tahoma" w:hAnsi="Tahoma" w:cs="Tahoma"/>
          <w:sz w:val="16"/>
          <w:szCs w:val="16"/>
        </w:rPr>
      </w:pPr>
    </w:p>
    <w:p w:rsidR="00DE27BE" w:rsidRPr="00904CB5" w:rsidRDefault="00DE27BE" w:rsidP="00904CB5">
      <w:pPr>
        <w:rPr>
          <w:rFonts w:ascii="Tahoma" w:hAnsi="Tahoma" w:cs="Tahoma"/>
          <w:sz w:val="16"/>
          <w:szCs w:val="16"/>
        </w:rPr>
      </w:pPr>
    </w:p>
    <w:p w:rsidR="00DE27BE" w:rsidRPr="00E85269" w:rsidRDefault="00DE27BE" w:rsidP="00904CB5">
      <w:pPr>
        <w:ind w:firstLine="284"/>
        <w:rPr>
          <w:rFonts w:ascii="Tahoma" w:hAnsi="Tahoma" w:cs="Tahoma"/>
          <w:sz w:val="16"/>
          <w:szCs w:val="16"/>
        </w:rPr>
      </w:pPr>
      <w:r w:rsidRPr="00E85269">
        <w:rPr>
          <w:rFonts w:ascii="Tahoma" w:hAnsi="Tahoma" w:cs="Tahoma"/>
          <w:sz w:val="16"/>
          <w:szCs w:val="16"/>
        </w:rPr>
        <w:t>Jeżeli Zamawiający określając w SIWZ produkt, będący przedmiotem niniejszego postępowania posłużył się wskazaniem konkretnego rozwiązania, w tym zakresie dopuszcza składania ofert równoważnych. Przez ofertę równoważną należy rozumieć zaoferowanie rozwiązania innego producenta aniżeli wskazanego przez Zamawiającego, z tym że oferowany produkt nie może być gorszy jakościowo od wskazanego, musi mieć co najmniej takie same parametry techniczno - eksploatacyjne, posiadać taką samą lub lepszą funkcjonalność oraz musi posiadać gwarancję nie krótszą od gwarancji jakiej udziela wskazany producent. Wykonawca, który powołuje się na rozwiązania równoważne, jest obowiązany wykazać, że oferowane przez niego dostawy, usługi lub roboty budowlane spełniają wymagania określone przez zamawiającego</w:t>
      </w:r>
      <w:r w:rsidR="00904CB5" w:rsidRPr="00E85269">
        <w:rPr>
          <w:rFonts w:ascii="Tahoma" w:hAnsi="Tahoma" w:cs="Tahoma"/>
          <w:sz w:val="16"/>
          <w:szCs w:val="16"/>
        </w:rPr>
        <w:t>.</w:t>
      </w:r>
    </w:p>
    <w:p w:rsidR="00904CB5" w:rsidRPr="00904CB5" w:rsidRDefault="00904CB5" w:rsidP="00904CB5">
      <w:pPr>
        <w:ind w:firstLine="284"/>
        <w:rPr>
          <w:rFonts w:ascii="Tahoma" w:hAnsi="Tahoma" w:cs="Tahoma"/>
          <w:color w:val="FF0000"/>
          <w:sz w:val="16"/>
          <w:szCs w:val="16"/>
        </w:rPr>
      </w:pPr>
    </w:p>
    <w:p w:rsidR="00DE27BE" w:rsidRDefault="00DE27BE" w:rsidP="00904CB5">
      <w:pPr>
        <w:rPr>
          <w:rFonts w:ascii="Tahoma" w:hAnsi="Tahoma" w:cs="Tahoma"/>
          <w:sz w:val="16"/>
          <w:szCs w:val="16"/>
        </w:rPr>
      </w:pPr>
    </w:p>
    <w:p w:rsidR="00396D67" w:rsidRPr="00396D67" w:rsidRDefault="00396D67" w:rsidP="00396D67">
      <w:pPr>
        <w:rPr>
          <w:rFonts w:ascii="Tahoma" w:hAnsi="Tahoma" w:cs="Tahoma"/>
          <w:sz w:val="16"/>
          <w:szCs w:val="16"/>
        </w:rPr>
      </w:pPr>
      <w:r w:rsidRPr="00396D67">
        <w:rPr>
          <w:rFonts w:ascii="Tahoma" w:hAnsi="Tahoma" w:cs="Tahoma"/>
          <w:sz w:val="16"/>
          <w:szCs w:val="16"/>
        </w:rPr>
        <w:t xml:space="preserve">Jednocześnie Zamawiający informuje o następujących zmianach: </w:t>
      </w:r>
    </w:p>
    <w:p w:rsidR="00396D67" w:rsidRPr="00396D67" w:rsidRDefault="00396D67" w:rsidP="00396D67">
      <w:pPr>
        <w:rPr>
          <w:rFonts w:ascii="Tahoma" w:hAnsi="Tahoma" w:cs="Tahoma"/>
          <w:sz w:val="16"/>
          <w:szCs w:val="16"/>
        </w:rPr>
      </w:pPr>
      <w:r w:rsidRPr="00396D67">
        <w:rPr>
          <w:rFonts w:ascii="Tahoma" w:hAnsi="Tahoma" w:cs="Tahoma"/>
          <w:sz w:val="16"/>
          <w:szCs w:val="16"/>
        </w:rPr>
        <w:t>Termi</w:t>
      </w:r>
      <w:r>
        <w:rPr>
          <w:rFonts w:ascii="Tahoma" w:hAnsi="Tahoma" w:cs="Tahoma"/>
          <w:sz w:val="16"/>
          <w:szCs w:val="16"/>
        </w:rPr>
        <w:t xml:space="preserve">n składania ofert upływa dnia: </w:t>
      </w:r>
      <w:r w:rsidRPr="00396D67">
        <w:rPr>
          <w:rFonts w:ascii="Tahoma" w:hAnsi="Tahoma" w:cs="Tahoma"/>
          <w:b/>
          <w:sz w:val="16"/>
          <w:szCs w:val="16"/>
        </w:rPr>
        <w:t>04.06.2019 r. o godz. 11:00</w:t>
      </w:r>
    </w:p>
    <w:p w:rsidR="006D4AB3" w:rsidRPr="00904CB5" w:rsidRDefault="00396D67" w:rsidP="00396D67">
      <w:pPr>
        <w:rPr>
          <w:rFonts w:ascii="Tahoma" w:hAnsi="Tahoma" w:cs="Tahoma"/>
          <w:sz w:val="16"/>
          <w:szCs w:val="16"/>
        </w:rPr>
      </w:pPr>
      <w:r>
        <w:rPr>
          <w:rFonts w:ascii="Tahoma" w:hAnsi="Tahoma" w:cs="Tahoma"/>
          <w:sz w:val="16"/>
          <w:szCs w:val="16"/>
        </w:rPr>
        <w:t xml:space="preserve">Otwarcie ofert nastąpi </w:t>
      </w:r>
      <w:r w:rsidRPr="00396D67">
        <w:rPr>
          <w:rFonts w:ascii="Tahoma" w:hAnsi="Tahoma" w:cs="Tahoma"/>
          <w:b/>
          <w:sz w:val="16"/>
          <w:szCs w:val="16"/>
        </w:rPr>
        <w:t>04.06.2019 r. o godz. 12:00</w:t>
      </w:r>
      <w:r w:rsidRPr="00396D67">
        <w:rPr>
          <w:rFonts w:ascii="Tahoma" w:hAnsi="Tahoma" w:cs="Tahoma"/>
          <w:sz w:val="16"/>
          <w:szCs w:val="16"/>
        </w:rPr>
        <w:t xml:space="preserve"> w siedzibie Politechniki Częstochowskiej przy ul. Dąbrowskiego 69, pok. 32.</w:t>
      </w:r>
      <w:r>
        <w:rPr>
          <w:rFonts w:ascii="Tahoma" w:hAnsi="Tahoma" w:cs="Tahoma"/>
          <w:sz w:val="16"/>
          <w:szCs w:val="16"/>
        </w:rPr>
        <w:t xml:space="preserve"> </w:t>
      </w:r>
      <w:r w:rsidR="006D4AB3" w:rsidRPr="00904CB5">
        <w:rPr>
          <w:rFonts w:ascii="Tahoma" w:hAnsi="Tahoma" w:cs="Tahoma"/>
          <w:sz w:val="16"/>
          <w:szCs w:val="16"/>
        </w:rPr>
        <w:t>Informujemy, że zgodnie z wymogiem art. 38 ust. 2 ustawy, stanowisko Zamawiającego zostało rozesłane do wszystkich wykonawców, którym przekazano SIWZ.</w:t>
      </w:r>
    </w:p>
    <w:p w:rsidR="00F623C5" w:rsidRPr="00904CB5" w:rsidRDefault="00F623C5" w:rsidP="00904CB5">
      <w:pPr>
        <w:pStyle w:val="Tekstpodstawowy"/>
        <w:ind w:left="3117" w:firstLine="423"/>
        <w:jc w:val="right"/>
        <w:rPr>
          <w:rFonts w:ascii="Tahoma" w:hAnsi="Tahoma" w:cs="Tahoma"/>
          <w:sz w:val="16"/>
          <w:szCs w:val="16"/>
        </w:rPr>
      </w:pPr>
    </w:p>
    <w:p w:rsidR="00904CB5" w:rsidRPr="00904CB5" w:rsidRDefault="00904CB5" w:rsidP="00904CB5">
      <w:pPr>
        <w:ind w:firstLine="284"/>
        <w:jc w:val="center"/>
        <w:rPr>
          <w:rFonts w:ascii="Tahoma" w:hAnsi="Tahoma" w:cs="Tahoma"/>
          <w:sz w:val="16"/>
          <w:szCs w:val="16"/>
        </w:rPr>
      </w:pPr>
      <w:r w:rsidRPr="00904CB5">
        <w:rPr>
          <w:rFonts w:ascii="Tahoma" w:hAnsi="Tahoma" w:cs="Tahoma"/>
          <w:sz w:val="16"/>
          <w:szCs w:val="16"/>
        </w:rPr>
        <w:t xml:space="preserve">Kanclerz </w:t>
      </w:r>
    </w:p>
    <w:p w:rsidR="00A063D3" w:rsidRPr="00904CB5" w:rsidRDefault="00904CB5" w:rsidP="00904CB5">
      <w:pPr>
        <w:ind w:firstLine="284"/>
        <w:jc w:val="center"/>
        <w:rPr>
          <w:rFonts w:ascii="Tahoma" w:hAnsi="Tahoma" w:cs="Tahoma"/>
          <w:sz w:val="16"/>
          <w:szCs w:val="16"/>
        </w:rPr>
      </w:pPr>
      <w:r w:rsidRPr="00904CB5">
        <w:rPr>
          <w:rFonts w:ascii="Tahoma" w:hAnsi="Tahoma" w:cs="Tahoma"/>
          <w:sz w:val="16"/>
          <w:szCs w:val="16"/>
        </w:rPr>
        <w:t>Politechniki Częstochowskiej</w:t>
      </w:r>
    </w:p>
    <w:p w:rsidR="00A9791F" w:rsidRPr="00904CB5" w:rsidRDefault="00904CB5" w:rsidP="00904CB5">
      <w:pPr>
        <w:ind w:firstLine="284"/>
        <w:jc w:val="center"/>
        <w:rPr>
          <w:rFonts w:ascii="Tahoma" w:hAnsi="Tahoma" w:cs="Tahoma"/>
          <w:sz w:val="16"/>
          <w:szCs w:val="16"/>
        </w:rPr>
      </w:pPr>
      <w:r>
        <w:rPr>
          <w:rFonts w:ascii="Tahoma" w:hAnsi="Tahoma" w:cs="Tahoma"/>
          <w:sz w:val="16"/>
          <w:szCs w:val="16"/>
        </w:rPr>
        <w:t>d</w:t>
      </w:r>
      <w:r w:rsidRPr="00904CB5">
        <w:rPr>
          <w:rFonts w:ascii="Tahoma" w:hAnsi="Tahoma" w:cs="Tahoma"/>
          <w:sz w:val="16"/>
          <w:szCs w:val="16"/>
        </w:rPr>
        <w:t xml:space="preserve">r </w:t>
      </w:r>
      <w:r>
        <w:rPr>
          <w:rFonts w:ascii="Tahoma" w:hAnsi="Tahoma" w:cs="Tahoma"/>
          <w:sz w:val="16"/>
          <w:szCs w:val="16"/>
        </w:rPr>
        <w:t>i</w:t>
      </w:r>
      <w:r w:rsidRPr="00904CB5">
        <w:rPr>
          <w:rFonts w:ascii="Tahoma" w:hAnsi="Tahoma" w:cs="Tahoma"/>
          <w:sz w:val="16"/>
          <w:szCs w:val="16"/>
        </w:rPr>
        <w:t>nż. Arkadiusz Kociszewski</w:t>
      </w:r>
    </w:p>
    <w:p w:rsidR="006D4AB3" w:rsidRPr="00904CB5" w:rsidRDefault="006D4AB3" w:rsidP="00904CB5">
      <w:pPr>
        <w:pStyle w:val="Tekstpodstawowy"/>
        <w:rPr>
          <w:rFonts w:ascii="Tahoma" w:hAnsi="Tahoma" w:cs="Tahoma"/>
          <w:sz w:val="16"/>
          <w:szCs w:val="16"/>
        </w:rPr>
      </w:pPr>
    </w:p>
    <w:sectPr w:rsidR="006D4AB3" w:rsidRPr="00904CB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0C1" w:rsidRDefault="00CD00C1">
      <w:r>
        <w:separator/>
      </w:r>
    </w:p>
  </w:endnote>
  <w:endnote w:type="continuationSeparator" w:id="0">
    <w:p w:rsidR="00CD00C1" w:rsidRDefault="00CD0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CF59E6">
      <w:rPr>
        <w:rStyle w:val="Numerstrony"/>
        <w:rFonts w:ascii="Arial" w:hAnsi="Arial" w:cs="Arial"/>
        <w:noProof/>
        <w:sz w:val="18"/>
        <w:szCs w:val="18"/>
      </w:rPr>
      <w:t>1</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CF59E6">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E85269">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0C1" w:rsidRDefault="00CD00C1">
      <w:r>
        <w:separator/>
      </w:r>
    </w:p>
  </w:footnote>
  <w:footnote w:type="continuationSeparator" w:id="0">
    <w:p w:rsidR="00CD00C1" w:rsidRDefault="00CD00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9F0" w:rsidRDefault="000619F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9F0" w:rsidRDefault="000619F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9F0" w:rsidRDefault="000619F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23A8"/>
    <w:multiLevelType w:val="hybridMultilevel"/>
    <w:tmpl w:val="1D3C068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05B7BDE"/>
    <w:multiLevelType w:val="hybridMultilevel"/>
    <w:tmpl w:val="758AB1C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abstractNum w:abstractNumId="9">
    <w:nsid w:val="7D770347"/>
    <w:multiLevelType w:val="hybridMultilevel"/>
    <w:tmpl w:val="B51688A6"/>
    <w:lvl w:ilvl="0" w:tplc="04150011">
      <w:start w:val="1"/>
      <w:numFmt w:val="decimal"/>
      <w:lvlText w:val="%1)"/>
      <w:lvlJc w:val="left"/>
      <w:pPr>
        <w:ind w:left="720" w:hanging="360"/>
      </w:pPr>
      <w:rPr>
        <w:rFonts w:hint="default"/>
      </w:rPr>
    </w:lvl>
    <w:lvl w:ilvl="1" w:tplc="B62C64AE">
      <w:numFmt w:val="bullet"/>
      <w:lvlText w:val="•"/>
      <w:lvlJc w:val="left"/>
      <w:pPr>
        <w:ind w:left="1770" w:hanging="690"/>
      </w:pPr>
      <w:rPr>
        <w:rFonts w:ascii="Calibri" w:eastAsia="Times New Roman"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8"/>
  </w:num>
  <w:num w:numId="3">
    <w:abstractNumId w:val="4"/>
  </w:num>
  <w:num w:numId="4">
    <w:abstractNumId w:val="7"/>
  </w:num>
  <w:num w:numId="5">
    <w:abstractNumId w:val="1"/>
  </w:num>
  <w:num w:numId="6">
    <w:abstractNumId w:val="3"/>
  </w:num>
  <w:num w:numId="7">
    <w:abstractNumId w:val="6"/>
  </w:num>
  <w:num w:numId="8">
    <w:abstractNumId w:val="9"/>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1228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00C1"/>
    <w:rsid w:val="00031374"/>
    <w:rsid w:val="000619F0"/>
    <w:rsid w:val="000A1097"/>
    <w:rsid w:val="00180C6E"/>
    <w:rsid w:val="00190795"/>
    <w:rsid w:val="00396D67"/>
    <w:rsid w:val="005144A9"/>
    <w:rsid w:val="00572A77"/>
    <w:rsid w:val="005B1B08"/>
    <w:rsid w:val="006D4AB3"/>
    <w:rsid w:val="006F3B81"/>
    <w:rsid w:val="00904CB5"/>
    <w:rsid w:val="009F2766"/>
    <w:rsid w:val="00A063D3"/>
    <w:rsid w:val="00A905AC"/>
    <w:rsid w:val="00A9791F"/>
    <w:rsid w:val="00C370F2"/>
    <w:rsid w:val="00C44EEC"/>
    <w:rsid w:val="00CD00C1"/>
    <w:rsid w:val="00CF59E6"/>
    <w:rsid w:val="00D10F92"/>
    <w:rsid w:val="00DE27BE"/>
    <w:rsid w:val="00DF32E8"/>
    <w:rsid w:val="00E2789F"/>
    <w:rsid w:val="00E85269"/>
    <w:rsid w:val="00EA416E"/>
    <w:rsid w:val="00F623C5"/>
    <w:rsid w:val="00FA5C49"/>
    <w:rsid w:val="00FC5957"/>
    <w:rsid w:val="00FD265E"/>
    <w:rsid w:val="00FF0F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character" w:customStyle="1" w:styleId="Teksttreci2">
    <w:name w:val="Tekst treści (2)_"/>
    <w:link w:val="Teksttreci20"/>
    <w:locked/>
    <w:rsid w:val="00904CB5"/>
    <w:rPr>
      <w:rFonts w:ascii="Calibri" w:eastAsia="Calibri" w:hAnsi="Calibri" w:cs="Calibri"/>
      <w:shd w:val="clear" w:color="auto" w:fill="FFFFFF"/>
    </w:rPr>
  </w:style>
  <w:style w:type="paragraph" w:customStyle="1" w:styleId="Teksttreci20">
    <w:name w:val="Tekst treści (2)"/>
    <w:basedOn w:val="Normalny"/>
    <w:link w:val="Teksttreci2"/>
    <w:rsid w:val="00904CB5"/>
    <w:pPr>
      <w:widowControl w:val="0"/>
      <w:shd w:val="clear" w:color="auto" w:fill="FFFFFF"/>
      <w:spacing w:after="600" w:line="0" w:lineRule="atLeast"/>
      <w:jc w:val="both"/>
    </w:pPr>
    <w:rPr>
      <w:rFonts w:ascii="Calibri" w:eastAsia="Calibri" w:hAnsi="Calibri" w:cs="Calibri"/>
    </w:rPr>
  </w:style>
  <w:style w:type="character" w:customStyle="1" w:styleId="Nagwek20">
    <w:name w:val="Nagłówek #2_"/>
    <w:link w:val="Nagwek21"/>
    <w:locked/>
    <w:rsid w:val="00904CB5"/>
    <w:rPr>
      <w:rFonts w:ascii="Calibri" w:eastAsia="Calibri" w:hAnsi="Calibri" w:cs="Calibri"/>
      <w:b/>
      <w:bCs/>
      <w:sz w:val="21"/>
      <w:szCs w:val="21"/>
      <w:shd w:val="clear" w:color="auto" w:fill="FFFFFF"/>
    </w:rPr>
  </w:style>
  <w:style w:type="paragraph" w:customStyle="1" w:styleId="Nagwek21">
    <w:name w:val="Nagłówek #2"/>
    <w:basedOn w:val="Normalny"/>
    <w:link w:val="Nagwek20"/>
    <w:rsid w:val="00904CB5"/>
    <w:pPr>
      <w:widowControl w:val="0"/>
      <w:shd w:val="clear" w:color="auto" w:fill="FFFFFF"/>
      <w:spacing w:before="600" w:after="360" w:line="403" w:lineRule="exact"/>
      <w:outlineLvl w:val="1"/>
    </w:pPr>
    <w:rPr>
      <w:rFonts w:ascii="Calibri" w:eastAsia="Calibri" w:hAnsi="Calibri" w:cs="Calibri"/>
      <w:b/>
      <w:bCs/>
      <w:sz w:val="21"/>
      <w:szCs w:val="21"/>
    </w:rPr>
  </w:style>
  <w:style w:type="character" w:customStyle="1" w:styleId="Nagwek2Kursywa">
    <w:name w:val="Nagłówek #2 + Kursywa"/>
    <w:rsid w:val="00904CB5"/>
    <w:rPr>
      <w:rFonts w:ascii="Calibri" w:eastAsia="Calibri" w:hAnsi="Calibri" w:cs="Calibri"/>
      <w:b/>
      <w:bCs/>
      <w:i/>
      <w:iCs/>
      <w:color w:val="000000"/>
      <w:spacing w:val="0"/>
      <w:w w:val="100"/>
      <w:position w:val="0"/>
      <w:sz w:val="21"/>
      <w:szCs w:val="21"/>
      <w:shd w:val="clear" w:color="auto" w:fill="FFFFFF"/>
      <w:lang w:val="pl-PL" w:eastAsia="pl-PL" w:bidi="pl-PL"/>
    </w:rPr>
  </w:style>
  <w:style w:type="character" w:styleId="Pogrubienie">
    <w:name w:val="Strong"/>
    <w:aliases w:val="Tekst treści (2) + 10,5 pt"/>
    <w:uiPriority w:val="22"/>
    <w:qFormat/>
    <w:rsid w:val="00904CB5"/>
    <w:rPr>
      <w:rFonts w:ascii="Calibri" w:eastAsia="Calibri" w:hAnsi="Calibri" w:cs="Calibri"/>
      <w:color w:val="000000"/>
      <w:spacing w:val="0"/>
      <w:w w:val="100"/>
      <w:position w:val="0"/>
      <w:sz w:val="21"/>
      <w:szCs w:val="21"/>
      <w:shd w:val="clear" w:color="auto" w:fill="FFFFFF"/>
      <w:lang w:val="pl-PL" w:eastAsia="pl-PL" w:bidi="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2824</Words>
  <Characters>18489</Characters>
  <Application>Microsoft Office Word</Application>
  <DocSecurity>0</DocSecurity>
  <Lines>154</Lines>
  <Paragraphs>42</Paragraphs>
  <ScaleCrop>false</ScaleCrop>
  <HeadingPairs>
    <vt:vector size="4" baseType="variant">
      <vt:variant>
        <vt:lpstr>Tytuł</vt:lpstr>
      </vt:variant>
      <vt:variant>
        <vt:i4>1</vt:i4>
      </vt:variant>
      <vt:variant>
        <vt:lpstr>Nagłówki</vt:lpstr>
      </vt:variant>
      <vt:variant>
        <vt:i4>17</vt:i4>
      </vt:variant>
    </vt:vector>
  </HeadingPairs>
  <TitlesOfParts>
    <vt:vector size="18" baseType="lpstr">
      <vt:lpstr>ZAPYTANIE O CENĘ</vt:lpstr>
      <vt:lpstr>O D P O W I E D Ź</vt:lpstr>
      <vt:lpstr>na zapytania w sprawie SIWZ oraz zmiana SIWZ</vt:lpstr>
      <vt:lpstr>    </vt:lpstr>
      <vt:lpstr>    </vt:lpstr>
      <vt:lpstr>    Pytanie nr 1: dotyczy wymagania na serwer obliczeniowy:</vt:lpstr>
      <vt:lpstr>    Procesor - „Architektura x86, maksymalny TDP dla procesora - 150W. Minimalna ilo</vt:lpstr>
      <vt:lpstr>    W chwili obecnej SPEC nie pozwala na dodawanie nowych wyników do SPEC2006. SPEC </vt:lpstr>
      <vt:lpstr>    Na dzień dzisiejszy obowiązującym standardem jest SPEC2017. Według tej normy prz</vt:lpstr>
      <vt:lpstr>    Metodą na porównanie wyników z tych dwóch różnych standardów, może być porównani</vt:lpstr>
      <vt:lpstr>    Prosimy o potwierdzenie, że Zamawiający w celu zwiększenia konkurencyjności prze</vt:lpstr>
      <vt:lpstr>    </vt:lpstr>
      <vt:lpstr>    Pytanie nr 2 do §5 ust. 4 wzoru umowy:</vt:lpstr>
      <vt:lpstr>    </vt:lpstr>
      <vt:lpstr>    Pytanie nr 3 do §5 ust. 5 wzoru umowy:</vt:lpstr>
      <vt:lpstr>    Pytanie nr 4 a do §5 ust. 7:</vt:lpstr>
      <vt:lpstr>    </vt:lpstr>
      <vt:lpstr>    Pytanie nr 5 do §5 ust. 11:</vt:lpstr>
    </vt:vector>
  </TitlesOfParts>
  <Company>Datacomp</Company>
  <LinksUpToDate>false</LinksUpToDate>
  <CharactersWithSpaces>21271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2019-05-16T09:43:00Z</cp:lastPrinted>
  <dcterms:created xsi:type="dcterms:W3CDTF">2019-05-16T11:47:00Z</dcterms:created>
  <dcterms:modified xsi:type="dcterms:W3CDTF">2019-05-16T11:47:00Z</dcterms:modified>
</cp:coreProperties>
</file>