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1A" w:rsidRPr="003A22D3" w:rsidRDefault="004C001A" w:rsidP="004C001A">
      <w:pPr>
        <w:tabs>
          <w:tab w:val="right" w:pos="9072"/>
        </w:tabs>
        <w:spacing w:before="100" w:after="100"/>
        <w:rPr>
          <w:sz w:val="24"/>
          <w:szCs w:val="24"/>
        </w:rPr>
      </w:pPr>
      <w:bookmarkStart w:id="0" w:name="_Hlk535926180"/>
      <w:r w:rsidRPr="003A22D3">
        <w:rPr>
          <w:sz w:val="24"/>
          <w:szCs w:val="24"/>
        </w:rPr>
        <w:t xml:space="preserve">Znak sprawy: </w:t>
      </w:r>
      <w:r w:rsidRPr="003A22D3">
        <w:rPr>
          <w:bCs/>
          <w:sz w:val="24"/>
          <w:szCs w:val="24"/>
        </w:rPr>
        <w:t>XIV.263.</w:t>
      </w:r>
      <w:r w:rsidRPr="003A22D3">
        <w:rPr>
          <w:b/>
          <w:bCs/>
          <w:sz w:val="24"/>
          <w:szCs w:val="24"/>
        </w:rPr>
        <w:t>4</w:t>
      </w:r>
      <w:r w:rsidRPr="003A22D3">
        <w:rPr>
          <w:bCs/>
          <w:sz w:val="24"/>
          <w:szCs w:val="24"/>
        </w:rPr>
        <w:t>.2019</w:t>
      </w:r>
      <w:r w:rsidRPr="003A22D3">
        <w:rPr>
          <w:sz w:val="24"/>
          <w:szCs w:val="24"/>
        </w:rPr>
        <w:tab/>
        <w:t>Warszawa, 2019-05-</w:t>
      </w:r>
      <w:r w:rsidR="00191726">
        <w:rPr>
          <w:sz w:val="24"/>
          <w:szCs w:val="24"/>
        </w:rPr>
        <w:t>13</w:t>
      </w:r>
      <w:bookmarkStart w:id="1" w:name="_GoBack"/>
      <w:bookmarkEnd w:id="1"/>
    </w:p>
    <w:bookmarkEnd w:id="0"/>
    <w:p w:rsidR="00F4687A" w:rsidRDefault="00F4687A" w:rsidP="004C001A">
      <w:pPr>
        <w:spacing w:before="100" w:after="100"/>
        <w:ind w:left="425"/>
        <w:jc w:val="center"/>
        <w:rPr>
          <w:sz w:val="24"/>
          <w:szCs w:val="24"/>
        </w:rPr>
      </w:pPr>
    </w:p>
    <w:p w:rsidR="004C001A" w:rsidRPr="00F4687A" w:rsidRDefault="00F4687A" w:rsidP="004C001A">
      <w:pPr>
        <w:spacing w:before="100" w:after="100"/>
        <w:ind w:left="425"/>
        <w:jc w:val="center"/>
        <w:rPr>
          <w:rFonts w:eastAsia="Calibri"/>
          <w:b/>
          <w:sz w:val="24"/>
          <w:szCs w:val="24"/>
          <w:lang w:eastAsia="en-US"/>
        </w:rPr>
      </w:pPr>
      <w:r w:rsidRPr="00F4687A">
        <w:rPr>
          <w:b/>
          <w:sz w:val="24"/>
          <w:szCs w:val="24"/>
        </w:rPr>
        <w:t>TREŚĆ ZAPYTAŃ WRAZ Z WYJAŚNIENIAMI TREŚCI SIWZ, INFORMACJA O ZMIANIE TREŚCI SIWZ</w:t>
      </w:r>
    </w:p>
    <w:p w:rsidR="004C001A" w:rsidRPr="003A22D3" w:rsidRDefault="004C001A" w:rsidP="004C001A">
      <w:pPr>
        <w:spacing w:line="276" w:lineRule="auto"/>
        <w:ind w:left="426"/>
        <w:jc w:val="center"/>
        <w:rPr>
          <w:b/>
          <w:sz w:val="24"/>
          <w:szCs w:val="24"/>
        </w:rPr>
      </w:pPr>
    </w:p>
    <w:p w:rsidR="004C001A" w:rsidRDefault="004C001A" w:rsidP="004C001A">
      <w:pPr>
        <w:spacing w:line="276" w:lineRule="auto"/>
        <w:jc w:val="both"/>
        <w:rPr>
          <w:sz w:val="24"/>
          <w:szCs w:val="24"/>
        </w:rPr>
      </w:pPr>
      <w:r w:rsidRPr="003A22D3">
        <w:rPr>
          <w:sz w:val="24"/>
          <w:szCs w:val="24"/>
        </w:rPr>
        <w:t xml:space="preserve">Dotyczy: postępowania prowadzonego </w:t>
      </w:r>
      <w:bookmarkStart w:id="2" w:name="_Hlk8043814"/>
      <w:r w:rsidRPr="003A22D3">
        <w:rPr>
          <w:sz w:val="24"/>
          <w:szCs w:val="24"/>
        </w:rPr>
        <w:t>w celu zawarcia umowy ramowej na podstawie art. 99 ustawy z dnia 29 stycznia 2004 roku Prawo zamówień publicznych, zwanej dalej „ustawą Pzp”, z zastosowaniem odpowiednio przepisów dotyczących udzielania zamówienia w trybie przetargu nieograniczonego</w:t>
      </w:r>
      <w:bookmarkEnd w:id="2"/>
      <w:r w:rsidRPr="003A22D3">
        <w:rPr>
          <w:sz w:val="24"/>
          <w:szCs w:val="24"/>
        </w:rPr>
        <w:t xml:space="preserve">, pod nazwą: </w:t>
      </w:r>
      <w:bookmarkStart w:id="3" w:name="_Hlk8043931"/>
      <w:r w:rsidRPr="003A22D3">
        <w:rPr>
          <w:b/>
          <w:sz w:val="24"/>
          <w:szCs w:val="24"/>
        </w:rPr>
        <w:t>„Zawarcie umowy ramowej na Świadczenie usług polegających na dostarczeniu specjalistów do realizacji zadań określonych przez Zamawiającego w ramach planowanych i obecnie prowadzonych projektów IT”</w:t>
      </w:r>
      <w:bookmarkEnd w:id="3"/>
      <w:r w:rsidRPr="003A22D3">
        <w:rPr>
          <w:sz w:val="24"/>
          <w:szCs w:val="24"/>
        </w:rPr>
        <w:t>.</w:t>
      </w:r>
    </w:p>
    <w:p w:rsidR="008E3305" w:rsidRPr="003A22D3" w:rsidRDefault="008E3305" w:rsidP="004C001A">
      <w:pPr>
        <w:spacing w:line="276" w:lineRule="auto"/>
        <w:jc w:val="both"/>
        <w:rPr>
          <w:b/>
          <w:sz w:val="24"/>
          <w:szCs w:val="24"/>
        </w:rPr>
      </w:pPr>
    </w:p>
    <w:p w:rsidR="003A22D3" w:rsidRPr="003A22D3" w:rsidRDefault="003A22D3" w:rsidP="003A22D3">
      <w:pPr>
        <w:pStyle w:val="Akapitzlist"/>
        <w:numPr>
          <w:ilvl w:val="0"/>
          <w:numId w:val="15"/>
        </w:numPr>
        <w:spacing w:before="120" w:after="120"/>
        <w:ind w:left="0" w:firstLine="0"/>
        <w:contextualSpacing w:val="0"/>
        <w:jc w:val="both"/>
        <w:rPr>
          <w:sz w:val="24"/>
          <w:szCs w:val="24"/>
        </w:rPr>
      </w:pPr>
      <w:r w:rsidRPr="003A22D3">
        <w:rPr>
          <w:sz w:val="24"/>
          <w:szCs w:val="24"/>
        </w:rPr>
        <w:t>Biblioteka Narodowa jako Zamawiający w ww. postępowaniu informuje, że w dni</w:t>
      </w:r>
      <w:bookmarkStart w:id="4" w:name="_Hlk526174151"/>
      <w:r w:rsidR="006E248B">
        <w:rPr>
          <w:sz w:val="24"/>
          <w:szCs w:val="24"/>
        </w:rPr>
        <w:t>u</w:t>
      </w:r>
      <w:r w:rsidRPr="003A22D3">
        <w:rPr>
          <w:sz w:val="24"/>
          <w:szCs w:val="24"/>
        </w:rPr>
        <w:t xml:space="preserve"> </w:t>
      </w:r>
      <w:r w:rsidR="002E0679">
        <w:rPr>
          <w:sz w:val="24"/>
          <w:szCs w:val="24"/>
        </w:rPr>
        <w:t>9</w:t>
      </w:r>
      <w:r w:rsidRPr="003A22D3">
        <w:rPr>
          <w:sz w:val="24"/>
          <w:szCs w:val="24"/>
        </w:rPr>
        <w:t xml:space="preserve">  </w:t>
      </w:r>
      <w:bookmarkEnd w:id="4"/>
      <w:r w:rsidR="006E248B">
        <w:rPr>
          <w:sz w:val="24"/>
          <w:szCs w:val="24"/>
        </w:rPr>
        <w:t xml:space="preserve">maja 2019 r. </w:t>
      </w:r>
      <w:r w:rsidRPr="003A22D3">
        <w:rPr>
          <w:sz w:val="24"/>
          <w:szCs w:val="24"/>
        </w:rPr>
        <w:t>do Zamawiającego wpłyn</w:t>
      </w:r>
      <w:r w:rsidR="002E0679">
        <w:rPr>
          <w:sz w:val="24"/>
          <w:szCs w:val="24"/>
        </w:rPr>
        <w:t>ę</w:t>
      </w:r>
      <w:r w:rsidRPr="003A22D3">
        <w:rPr>
          <w:sz w:val="24"/>
          <w:szCs w:val="24"/>
        </w:rPr>
        <w:t>ł</w:t>
      </w:r>
      <w:r w:rsidR="002E0679">
        <w:rPr>
          <w:sz w:val="24"/>
          <w:szCs w:val="24"/>
        </w:rPr>
        <w:t>y</w:t>
      </w:r>
      <w:r w:rsidRPr="003A22D3">
        <w:rPr>
          <w:sz w:val="24"/>
          <w:szCs w:val="24"/>
        </w:rPr>
        <w:t xml:space="preserve"> wniosk</w:t>
      </w:r>
      <w:r w:rsidR="002E0679">
        <w:rPr>
          <w:sz w:val="24"/>
          <w:szCs w:val="24"/>
        </w:rPr>
        <w:t>i</w:t>
      </w:r>
      <w:r w:rsidRPr="003A22D3">
        <w:rPr>
          <w:sz w:val="24"/>
          <w:szCs w:val="24"/>
        </w:rPr>
        <w:t xml:space="preserve"> o wyjaśnienie treści SIWZ. </w:t>
      </w:r>
    </w:p>
    <w:p w:rsidR="003A22D3" w:rsidRPr="003A22D3" w:rsidRDefault="003A22D3" w:rsidP="003A22D3">
      <w:pPr>
        <w:spacing w:before="120" w:after="120"/>
        <w:jc w:val="both"/>
        <w:rPr>
          <w:sz w:val="24"/>
          <w:szCs w:val="24"/>
        </w:rPr>
      </w:pPr>
      <w:r w:rsidRPr="003A22D3">
        <w:rPr>
          <w:sz w:val="24"/>
          <w:szCs w:val="24"/>
        </w:rPr>
        <w:t>Na podstawie art. 38 ust. 2 ustawy Pzp Zamawiający przekazuje treść zapyta</w:t>
      </w:r>
      <w:r w:rsidR="002E0679">
        <w:rPr>
          <w:sz w:val="24"/>
          <w:szCs w:val="24"/>
        </w:rPr>
        <w:t>ń</w:t>
      </w:r>
      <w:r w:rsidRPr="003A22D3">
        <w:rPr>
          <w:sz w:val="24"/>
          <w:szCs w:val="24"/>
        </w:rPr>
        <w:t xml:space="preserve"> wraz z</w:t>
      </w:r>
      <w:r>
        <w:rPr>
          <w:sz w:val="24"/>
          <w:szCs w:val="24"/>
        </w:rPr>
        <w:t> </w:t>
      </w:r>
      <w:r w:rsidRPr="003A22D3">
        <w:rPr>
          <w:sz w:val="24"/>
          <w:szCs w:val="24"/>
        </w:rPr>
        <w:t xml:space="preserve">wyjaśnieniami. </w:t>
      </w:r>
    </w:p>
    <w:p w:rsidR="003A22D3" w:rsidRPr="003A22D3" w:rsidRDefault="00805928" w:rsidP="003A22D3">
      <w:pPr>
        <w:pStyle w:val="Nagwek1"/>
        <w:spacing w:after="120"/>
        <w:rPr>
          <w:rFonts w:ascii="Times New Roman" w:hAnsi="Times New Roman" w:cs="Times New Roman"/>
          <w:sz w:val="24"/>
          <w:szCs w:val="24"/>
        </w:rPr>
      </w:pPr>
      <w:r>
        <w:rPr>
          <w:rFonts w:ascii="Times New Roman" w:hAnsi="Times New Roman" w:cs="Times New Roman"/>
          <w:sz w:val="24"/>
          <w:szCs w:val="24"/>
        </w:rPr>
        <w:t>Zestaw pytań nr 1</w:t>
      </w:r>
      <w:r w:rsidR="00BF6160">
        <w:rPr>
          <w:rFonts w:ascii="Times New Roman" w:hAnsi="Times New Roman" w:cs="Times New Roman"/>
          <w:sz w:val="24"/>
          <w:szCs w:val="24"/>
        </w:rPr>
        <w:t xml:space="preserve"> z dnia 09 maja 2019 r.</w:t>
      </w:r>
    </w:p>
    <w:p w:rsidR="00227B33" w:rsidRDefault="00227B33" w:rsidP="00227B33">
      <w:pPr>
        <w:pStyle w:val="Akapitzlist"/>
        <w:numPr>
          <w:ilvl w:val="0"/>
          <w:numId w:val="26"/>
        </w:numPr>
        <w:spacing w:before="120" w:line="276" w:lineRule="auto"/>
        <w:ind w:left="0"/>
        <w:jc w:val="both"/>
        <w:rPr>
          <w:sz w:val="24"/>
          <w:szCs w:val="24"/>
        </w:rPr>
      </w:pPr>
      <w:r>
        <w:rPr>
          <w:sz w:val="24"/>
          <w:szCs w:val="24"/>
        </w:rPr>
        <w:t xml:space="preserve">Zgodnie z § 3 ust. 3 wzoru umowy wykonawczej Strony zawrzeć mają na podstawie art. 208 </w:t>
      </w:r>
      <w:proofErr w:type="spellStart"/>
      <w:r>
        <w:rPr>
          <w:sz w:val="24"/>
          <w:szCs w:val="24"/>
        </w:rPr>
        <w:t>kp</w:t>
      </w:r>
      <w:proofErr w:type="spellEnd"/>
      <w:r>
        <w:rPr>
          <w:sz w:val="24"/>
          <w:szCs w:val="24"/>
        </w:rPr>
        <w:t xml:space="preserve"> porozumienie o współpracy pracodawców w zakresie zapewnienia pracownikom bezpieczeństwa i higienicznych warunków pracy oraz ustanowienia koordynatora do spraw bhp i ppoż. Nie kwestionując intencji Zamawiającego do uregulowania potrzeby zapewnienia personelowi obu stron bezpiecznych i higienicznych warunków pracy wskazujemy, że personel Wykonawcy nie musi posiadać statusu pracowniczego w rozumieniu przepisów kodeksu pracy (mogą być to osoby działające na podstawie umów cywilnoprawnych a także w ramach kontraktów typu b2b, zawieranych z osobami prowadzącymi działalność gospodarczą. Wobec takich osób Wykonawca nie posiada obowiązków ani uprawnień płynących z przepisów kodeksu pracy - w szczególności nie tylko nie jest zobowiązany ale wręcz nie jest uprawniony do np. wymagania i odbierania od przedsiębiorców świadczących usługi na jego rzecz orzeczeń lekarskich stwierdzających ich stan zdrowia. Przetwarzanie takich danych przez Wykonawcę, jako niewynikające z przepisów prawa i nadmiarowe w stosunku do potrzeb Wykonawcy naruszałoby również przepisy o ochronie danych osobowych (RODO). Podobny status ma personel udostępniony Wykonawcy przez podmioty trzecie czy też personel podwykonawców. </w:t>
      </w:r>
    </w:p>
    <w:p w:rsidR="00227B33" w:rsidRDefault="00227B33" w:rsidP="00227B33">
      <w:pPr>
        <w:spacing w:before="120"/>
        <w:jc w:val="both"/>
        <w:rPr>
          <w:sz w:val="24"/>
          <w:szCs w:val="24"/>
        </w:rPr>
      </w:pPr>
      <w:r>
        <w:rPr>
          <w:sz w:val="24"/>
          <w:szCs w:val="24"/>
        </w:rPr>
        <w:t xml:space="preserve">Czy zatem Zamawiający potwierdzi, że wymogi wynikające z porozumienia zawartego na podstawie art. 208 </w:t>
      </w:r>
      <w:proofErr w:type="spellStart"/>
      <w:r>
        <w:rPr>
          <w:sz w:val="24"/>
          <w:szCs w:val="24"/>
        </w:rPr>
        <w:t>kp</w:t>
      </w:r>
      <w:proofErr w:type="spellEnd"/>
      <w:r>
        <w:rPr>
          <w:sz w:val="24"/>
          <w:szCs w:val="24"/>
        </w:rPr>
        <w:t xml:space="preserve"> mają mieć zastosowanie wyłącznie do personelu Wykonawcy zatrudnionego na podstawie umów o pracę i nie ma zastosowania do osób zatrudnianych na podstawie innych stosunków prawnych, personelu udostępnionego oraz personelu podwykonawców, alternatywnie, czy Zamawiający zrezygnuje z wymogu zawarcia </w:t>
      </w:r>
      <w:r>
        <w:rPr>
          <w:sz w:val="24"/>
          <w:szCs w:val="24"/>
        </w:rPr>
        <w:lastRenderedPageBreak/>
        <w:t>porozumienia lub zmodyfikuje jego treść tak, aby uwzględniała powyżej wskazane uwarunkowania?</w:t>
      </w:r>
    </w:p>
    <w:p w:rsidR="00227B33" w:rsidRDefault="00227B33" w:rsidP="00227B33">
      <w:pPr>
        <w:spacing w:before="120"/>
        <w:jc w:val="both"/>
        <w:rPr>
          <w:b/>
          <w:sz w:val="24"/>
          <w:szCs w:val="24"/>
        </w:rPr>
      </w:pPr>
      <w:r>
        <w:rPr>
          <w:b/>
          <w:sz w:val="24"/>
          <w:szCs w:val="24"/>
        </w:rPr>
        <w:t>Odpowiedź: Wymóg podpisania Porozumienia o współpracy pracodawców, stanowiącego Załącznik nr 7 do Umowy wykonawczej (Załącznik nr 12 do SIWZ) dotyczy wyłącznie sytuacji, w której porozumienie będzie wymagane na podstawie przepisów art. 208 Kodeksu pracy, gdzie zgodnie z art. 2. Kodeksu pracy „Pracownikiem jest osoba zatrudniona na podstawie umowy o pracę, powołania, wyboru, mianowania lub spółdzielczej umowy o pracę”.</w:t>
      </w:r>
    </w:p>
    <w:p w:rsidR="00227B33" w:rsidRDefault="00227B33" w:rsidP="00227B33">
      <w:pPr>
        <w:pStyle w:val="Akapitzlist"/>
        <w:numPr>
          <w:ilvl w:val="0"/>
          <w:numId w:val="26"/>
        </w:numPr>
        <w:spacing w:before="120" w:line="276" w:lineRule="auto"/>
        <w:ind w:left="0"/>
        <w:jc w:val="both"/>
        <w:rPr>
          <w:sz w:val="24"/>
          <w:szCs w:val="24"/>
        </w:rPr>
      </w:pPr>
      <w:r>
        <w:rPr>
          <w:sz w:val="24"/>
          <w:szCs w:val="24"/>
        </w:rPr>
        <w:t>Jakiego rodzaju „dodatkowe wymogi wynikające z procedur wewnętrznych Zamawiającego lub z obowiązujących przepisów prawa” mogą mieć zastosowanie przy dopuszczaniu personelu Wykonawcy do pomieszczeń lub infrastruktury informatycznej Zamawiającego (§ 3 ust. 4 umowy wykonawczej)? Czy w grę wchodzić mogą np. przepisy o ochronie informacji niejawnych? Czy Zamawiający potwierdzi, że Wykonawca nie poniesie żadnych negatywnych konsekwencji w związku z niewykonaniem umowy (np. kar umownych, odstąpienia od umowy z winy wykonawcy) w przypadku, jeśli spełnienie przez jego personel dodatkowych wymogów nieujawnionych w SIWZ nie będzie obiektywnie możliwe lub okaże się długotrwałe lub pociągać będzie dodatkowe, nieprzewidziane wydatki po stronie Wykonawcy?</w:t>
      </w:r>
    </w:p>
    <w:p w:rsidR="00227B33" w:rsidRDefault="00227B33" w:rsidP="00227B33">
      <w:pPr>
        <w:pStyle w:val="Akapitzlist"/>
        <w:spacing w:before="120"/>
        <w:ind w:left="0"/>
        <w:jc w:val="both"/>
        <w:rPr>
          <w:sz w:val="24"/>
          <w:szCs w:val="24"/>
        </w:rPr>
      </w:pPr>
    </w:p>
    <w:p w:rsidR="00227B33" w:rsidRDefault="00227B33" w:rsidP="00227B33">
      <w:pPr>
        <w:spacing w:before="120"/>
        <w:jc w:val="both"/>
        <w:rPr>
          <w:b/>
          <w:sz w:val="24"/>
          <w:szCs w:val="24"/>
        </w:rPr>
      </w:pPr>
      <w:bookmarkStart w:id="5" w:name="_Hlk8399768"/>
      <w:r>
        <w:rPr>
          <w:b/>
          <w:sz w:val="24"/>
          <w:szCs w:val="24"/>
        </w:rPr>
        <w:t>Odpowiedź: W odniesieniu do treści § 3 ust. 4 umowy wykonawczej, należy mieć na uwadze wyłącznie wymogi wynikające z procedur wewnętrznych Zamawiającego lub z obowiązujących przepisów prawa, które mogą mieć zastosowanie przy dopuszczaniu personelu Wykonawcy do pomieszczeń lub infrastruktury informatycznej Zamawiającego. Do takich wymogów należy zaliczyć w szczególności:</w:t>
      </w:r>
    </w:p>
    <w:p w:rsidR="00227B33" w:rsidRDefault="00227B33" w:rsidP="00227B33">
      <w:pPr>
        <w:pStyle w:val="Akapitzlist"/>
        <w:numPr>
          <w:ilvl w:val="0"/>
          <w:numId w:val="27"/>
        </w:numPr>
        <w:spacing w:before="120" w:after="200" w:line="276" w:lineRule="auto"/>
        <w:jc w:val="both"/>
        <w:rPr>
          <w:b/>
          <w:sz w:val="24"/>
          <w:szCs w:val="24"/>
        </w:rPr>
      </w:pPr>
      <w:r>
        <w:rPr>
          <w:b/>
          <w:sz w:val="24"/>
          <w:szCs w:val="24"/>
        </w:rPr>
        <w:t>W zakresie dostępu do pomieszczeń Zamawiającego – w przypadku, w którym miejscem realizacji zadań specjalisty będzie siedziba Zamawiającego, w celu dopuszczenia personelu Wykonawcy do pomieszczeń Zamawiającego niezbędne będzie przekazanie przez Wykonawcę Zamawiającemu zatwierdzonej przez uprawnionych przedstawicieli Zamawiającego listy osób zawierającej: imiona, nazwiska, numery dokumentów tożsamości oraz czas na jaki dla poszczególnych osób Zamawiający wyda przepustki imienne, upoważniające do poruszania się po siedzibie Zamawiającego.</w:t>
      </w:r>
    </w:p>
    <w:p w:rsidR="00227B33" w:rsidRDefault="00227B33" w:rsidP="00227B33">
      <w:pPr>
        <w:pStyle w:val="Akapitzlist"/>
        <w:numPr>
          <w:ilvl w:val="0"/>
          <w:numId w:val="27"/>
        </w:numPr>
        <w:spacing w:before="120" w:line="276" w:lineRule="auto"/>
        <w:jc w:val="both"/>
        <w:rPr>
          <w:b/>
          <w:sz w:val="24"/>
          <w:szCs w:val="24"/>
        </w:rPr>
      </w:pPr>
      <w:r>
        <w:rPr>
          <w:b/>
          <w:sz w:val="24"/>
          <w:szCs w:val="24"/>
        </w:rPr>
        <w:t>W zakresie dostępu do infrastruktury informatycznej Zamawiającego – wymogiem koniecznym do uzyskania dostępu będzie zainstalowane oprogramowanie antywirusowe na komputerze Wykonawcy, z którego będzie korzystał specjalista oraz przekazanie administratorom Biblioteki Narodowej danych karty sieciowej komputera.</w:t>
      </w:r>
    </w:p>
    <w:p w:rsidR="00227B33" w:rsidRDefault="00227B33" w:rsidP="00227B33">
      <w:pPr>
        <w:pStyle w:val="Akapitzlist"/>
        <w:spacing w:before="120"/>
        <w:ind w:left="0"/>
        <w:jc w:val="both"/>
        <w:rPr>
          <w:b/>
          <w:sz w:val="24"/>
          <w:szCs w:val="24"/>
        </w:rPr>
      </w:pPr>
    </w:p>
    <w:p w:rsidR="00227B33" w:rsidRDefault="00227B33" w:rsidP="00227B33">
      <w:pPr>
        <w:spacing w:before="120"/>
        <w:jc w:val="both"/>
        <w:rPr>
          <w:b/>
          <w:sz w:val="24"/>
          <w:szCs w:val="24"/>
        </w:rPr>
      </w:pPr>
      <w:r>
        <w:rPr>
          <w:b/>
          <w:sz w:val="24"/>
          <w:szCs w:val="24"/>
        </w:rPr>
        <w:t xml:space="preserve">W odniesieniu do treści § 3 ust. 4 umowy wykonawczej Zamawiający nie przewiduje konieczności spełnienia przez Wykonawcę, ani też personel Wykonawcy, takich dodatkowych wymogów niezbędnych do dopuszczenia Wykonawcy do pomieszczeń lub </w:t>
      </w:r>
      <w:r>
        <w:rPr>
          <w:b/>
          <w:sz w:val="24"/>
          <w:szCs w:val="24"/>
        </w:rPr>
        <w:lastRenderedPageBreak/>
        <w:t>infrastruktury informatycznej Zamawiającego, które mogłyby obiektywnie uniemożliwić Wykonawcy wykonanie umowy. W ramach realizacji przedmiotu zamówienia nie będą miały zastosowania przepisy o ochronie informacji niejawnych.</w:t>
      </w:r>
    </w:p>
    <w:bookmarkEnd w:id="5"/>
    <w:p w:rsidR="00227B33" w:rsidRDefault="00227B33" w:rsidP="00227B33">
      <w:pPr>
        <w:pStyle w:val="Akapitzlist"/>
        <w:spacing w:before="120"/>
        <w:ind w:left="0"/>
        <w:jc w:val="both"/>
        <w:rPr>
          <w:b/>
          <w:sz w:val="24"/>
          <w:szCs w:val="24"/>
        </w:rPr>
      </w:pPr>
    </w:p>
    <w:p w:rsidR="00227B33" w:rsidRDefault="00227B33" w:rsidP="00227B33">
      <w:pPr>
        <w:pStyle w:val="Akapitzlist"/>
        <w:spacing w:before="120"/>
        <w:ind w:left="0"/>
        <w:jc w:val="both"/>
        <w:rPr>
          <w:b/>
          <w:sz w:val="24"/>
          <w:szCs w:val="24"/>
        </w:rPr>
      </w:pPr>
    </w:p>
    <w:p w:rsidR="00227B33" w:rsidRDefault="00227B33" w:rsidP="00227B33">
      <w:pPr>
        <w:pStyle w:val="Akapitzlist"/>
        <w:numPr>
          <w:ilvl w:val="0"/>
          <w:numId w:val="26"/>
        </w:numPr>
        <w:spacing w:before="120" w:line="276" w:lineRule="auto"/>
        <w:ind w:left="0"/>
        <w:jc w:val="both"/>
        <w:rPr>
          <w:sz w:val="24"/>
          <w:szCs w:val="24"/>
        </w:rPr>
      </w:pPr>
      <w:r>
        <w:rPr>
          <w:sz w:val="24"/>
          <w:szCs w:val="24"/>
        </w:rPr>
        <w:t xml:space="preserve">Procedura weryfikacji specjalistów (§ 4 ust. 3 pkt. 4-6) przewiduje możliwość odrzucenia kandydatury specjalisty, gdy w opinii Zamawiającego specjalista nie będzie wystarczająco przygotowany do realizacji zakresu czynności wskazanych w propozycji Zlecenia. Nie kwestionując prawa Zamawiającego do weryfikacji kwalifikacji personelu Wykonawcy pojawia się w tym miejscu szereg pytań: </w:t>
      </w:r>
    </w:p>
    <w:p w:rsidR="00227B33" w:rsidRDefault="00227B33" w:rsidP="00227B33">
      <w:pPr>
        <w:spacing w:before="120"/>
        <w:jc w:val="both"/>
        <w:rPr>
          <w:sz w:val="24"/>
          <w:szCs w:val="24"/>
        </w:rPr>
      </w:pPr>
      <w:r>
        <w:rPr>
          <w:sz w:val="24"/>
          <w:szCs w:val="24"/>
        </w:rPr>
        <w:t xml:space="preserve">a) jakie aspekty kwalifikacji personelu Wykonawcy mogą podlegać weryfikacji? Czy dotyczyć ona ma kwalifikacji wymaganych w SIWZ czy również innych, które w danym momencie Zamawiający uzna za istotne? W tym ostatnim przypadku negatywny wynik weryfikacji nie powinien pociągać żadnych negatywnych konsekwencji dla Wykonawcy, nie jest on bowiem zobowiązany przedstawiać Zamawiającemu personel posiadający inne kwalifikacje niż formalnie wymagane w SIWZ, </w:t>
      </w:r>
    </w:p>
    <w:p w:rsidR="00227B33" w:rsidRDefault="00227B33" w:rsidP="00227B33">
      <w:pPr>
        <w:spacing w:before="120"/>
        <w:jc w:val="both"/>
        <w:rPr>
          <w:sz w:val="24"/>
          <w:szCs w:val="24"/>
        </w:rPr>
      </w:pPr>
      <w:r>
        <w:rPr>
          <w:b/>
          <w:sz w:val="24"/>
          <w:szCs w:val="24"/>
        </w:rPr>
        <w:t>Odpowiedź: Weryfikacji będą podlegały kwalifikacje wymagane dla danej roli w SIWZ wraz z załącznikami.</w:t>
      </w:r>
    </w:p>
    <w:p w:rsidR="00227B33" w:rsidRDefault="00227B33" w:rsidP="00227B33">
      <w:pPr>
        <w:spacing w:before="120"/>
        <w:jc w:val="both"/>
        <w:rPr>
          <w:sz w:val="24"/>
          <w:szCs w:val="24"/>
        </w:rPr>
      </w:pPr>
      <w:r>
        <w:rPr>
          <w:sz w:val="24"/>
          <w:szCs w:val="24"/>
        </w:rPr>
        <w:t xml:space="preserve">b) jakie kwalifikacje posiadać będą specjaliści Zamawiającego dokonujący takiej weryfikacji? W sytuacji, gdy Zamawiający oczekuje, że personel wykonawcy posiadać będzie specjalistyczne kwalifikacje potwierdzane zdobytym doświadczeniem oraz uzyskanymi certyfikatami weryfikacja, by nie miała charakteru pozornego lub arbitralnego, powinna być dokonywana przez osoby posiadające przynajmniej zbliżone lub wyższe kwalifikacje (mówiąc obrazowo - kwalifikacji kierowcy zawodowego nie powinna weryfikować i oceniać osoba nieposiadająca prawa jazdy). Czy Zamawiający zapewni udział w procedurze weryfikacyjnej takich specjalistów? </w:t>
      </w:r>
    </w:p>
    <w:p w:rsidR="00227B33" w:rsidRDefault="00227B33" w:rsidP="00227B33">
      <w:pPr>
        <w:spacing w:before="120"/>
        <w:jc w:val="both"/>
        <w:rPr>
          <w:sz w:val="24"/>
          <w:szCs w:val="24"/>
        </w:rPr>
      </w:pPr>
      <w:r>
        <w:rPr>
          <w:b/>
          <w:sz w:val="24"/>
          <w:szCs w:val="24"/>
        </w:rPr>
        <w:t>Odpowiedź: Weryfikacja zostanie dokonana w sposób rzetelny przez osoby, które będą w stanie ocenić rzeczywisty poziom kwalifikacji specjalistów proponowanych przez Wykonawcę.</w:t>
      </w:r>
    </w:p>
    <w:p w:rsidR="00227B33" w:rsidRDefault="00227B33" w:rsidP="00227B33">
      <w:pPr>
        <w:spacing w:before="120"/>
        <w:jc w:val="both"/>
        <w:rPr>
          <w:sz w:val="24"/>
          <w:szCs w:val="24"/>
        </w:rPr>
      </w:pPr>
      <w:r>
        <w:rPr>
          <w:sz w:val="24"/>
          <w:szCs w:val="24"/>
        </w:rPr>
        <w:t xml:space="preserve">c) czy istnienie możliwość zakwestionowania uzasadnienia odrzucenia kandydatury specjalisty - jako np. odnoszącego się do aspektów, które nie powinny być przedmiotem weryfikacji. </w:t>
      </w:r>
    </w:p>
    <w:p w:rsidR="00227B33" w:rsidRDefault="00227B33" w:rsidP="00227B33">
      <w:pPr>
        <w:spacing w:before="120"/>
        <w:jc w:val="both"/>
        <w:rPr>
          <w:b/>
          <w:sz w:val="24"/>
          <w:szCs w:val="24"/>
        </w:rPr>
      </w:pPr>
      <w:r>
        <w:rPr>
          <w:b/>
          <w:sz w:val="24"/>
          <w:szCs w:val="24"/>
        </w:rPr>
        <w:t>Odpowiedź: Wykonawca może zgłaszać uwagi dotyczące odrzucenia kandydatury specjalisty, w tym przedmiotu weryfikacji, jednak Zamawiający nie jest zobowiązany do ich uznania, jeśli stwierdzi, że są niezasadne.</w:t>
      </w:r>
    </w:p>
    <w:p w:rsidR="00227B33" w:rsidRDefault="00227B33" w:rsidP="00227B33">
      <w:pPr>
        <w:spacing w:before="120"/>
        <w:jc w:val="both"/>
        <w:rPr>
          <w:sz w:val="24"/>
          <w:szCs w:val="24"/>
        </w:rPr>
      </w:pPr>
      <w:r>
        <w:rPr>
          <w:sz w:val="24"/>
          <w:szCs w:val="24"/>
        </w:rPr>
        <w:t xml:space="preserve">d) procedura weryfikacji może być przeprowadzana wielokrotnie, w odniesieniu do każdej przedstawionej kandydatury, Jednak zwłaszcza w sytuacji, gdy kryteria weryfikacji miałyby pozostać niedookreślone, jak to jest w chwili obecnej, Wykonawca nie może być formalnie zobligowany do przedstawiania kolejnych kandydatur w gwarantowanym czasie i z rygorem kar umownych. Dodać należy, że Zamawiający ma możliwość oceny specjalisty również w toku realizacji zlecenia (por. ust. 10), zaś bazowanie wyłącznie na np. rozmowie telefonicznej może okazać się krzywdzące dla Wykonawcy. Czy zatem Zamawiający wyrazi zgodę aby </w:t>
      </w:r>
      <w:r>
        <w:rPr>
          <w:sz w:val="24"/>
          <w:szCs w:val="24"/>
        </w:rPr>
        <w:lastRenderedPageBreak/>
        <w:t>żądanie wymiany kandydatury przed udzieleniem zlecenia mogło nastąpić jedynie jednokrotnie oraz by żądanie takie mogło być ograniczone jedynie do przypadku stwierdzenia nie posiadania przez specjalistę wiedzy i umiejętności wskazanych w Załączniku nr 1 do Umowy wykonawczej?</w:t>
      </w:r>
    </w:p>
    <w:p w:rsidR="00227B33" w:rsidRDefault="00227B33" w:rsidP="00227B33">
      <w:pPr>
        <w:spacing w:before="120"/>
        <w:jc w:val="both"/>
        <w:rPr>
          <w:b/>
          <w:sz w:val="24"/>
          <w:szCs w:val="24"/>
        </w:rPr>
      </w:pPr>
      <w:r>
        <w:rPr>
          <w:b/>
          <w:sz w:val="24"/>
          <w:szCs w:val="24"/>
        </w:rPr>
        <w:t>Odpowiedź: Zgodnie z odpowiedzią na pytanie nr 3 a) odrzucenie kandydatury specjalisty przez Zamawiającego i obowiązek przedstawienia nowej kandydatury przez Wykonawcę ograniczone będą do przypadków, gdy dany specjalista nie spełni wymogów opisanych dla danej roli w SIWZ i jej załącznikach. Zatem Zamawiający nie uznaje za zasadne ograniczenia, zgodnie z którym Wykonawca byłby zobowiązany jedynie do jednokrotnej zmiany kandydatury specjalisty. Takie ograniczenie godziłoby w interes Zamawiającego, umożliwiając Wykonawcy przedstawienie za drugim razem kandydatury specjalisty o kwalifikacjach znacznie odbiegających od wymogów SIWZ i zmuszając Zamawiającego do udzielenia Zlecenia na pracę takiego specjalisty.</w:t>
      </w:r>
    </w:p>
    <w:p w:rsidR="00227B33" w:rsidRDefault="00227B33" w:rsidP="00227B33">
      <w:pPr>
        <w:spacing w:before="120"/>
        <w:jc w:val="both"/>
        <w:rPr>
          <w:b/>
          <w:sz w:val="24"/>
          <w:szCs w:val="24"/>
        </w:rPr>
      </w:pPr>
      <w:r>
        <w:rPr>
          <w:b/>
          <w:sz w:val="24"/>
          <w:szCs w:val="24"/>
        </w:rPr>
        <w:t>Nadrzędnym celem procedury weryfikacji kompetencji kandydata jest uzyskanie przez Zamawiającego pewności, iż wskazywany przez Wykonawcę specjalista spełnia postawione przez Zamawiającego wymagania, które są niezbędne dla właściwej realizacji postawionych specjaliście zadań, a obowiązkiem Wykonawcy jest przedstawienie do weryfikacji kandydata spełniającego wymagania zapisane w SIWZ i jej załącznikach.</w:t>
      </w:r>
    </w:p>
    <w:p w:rsidR="00227B33" w:rsidRDefault="00227B33" w:rsidP="00227B33">
      <w:pPr>
        <w:spacing w:before="120"/>
        <w:jc w:val="both"/>
        <w:rPr>
          <w:sz w:val="24"/>
          <w:szCs w:val="24"/>
        </w:rPr>
      </w:pPr>
    </w:p>
    <w:p w:rsidR="00227B33" w:rsidRDefault="00227B33" w:rsidP="00227B33">
      <w:pPr>
        <w:pStyle w:val="Akapitzlist"/>
        <w:numPr>
          <w:ilvl w:val="0"/>
          <w:numId w:val="26"/>
        </w:numPr>
        <w:spacing w:before="120" w:line="276" w:lineRule="auto"/>
        <w:ind w:left="0"/>
        <w:jc w:val="both"/>
        <w:rPr>
          <w:sz w:val="24"/>
          <w:szCs w:val="24"/>
        </w:rPr>
      </w:pPr>
      <w:r>
        <w:rPr>
          <w:sz w:val="24"/>
          <w:szCs w:val="24"/>
        </w:rPr>
        <w:t xml:space="preserve">Czy Zamawiający potwierdza, że osoba negatywnie zweryfikowana w procesie udzielania zlecenia może być przedstawiona przez Wykonawcę jako kandydat do realizacji kolejnych zleceń udzielanych przez Zamawiającego. Wskazać należy, że negatywna weryfikacja może odnosić się do aspektu, który nie występuje w każdym kolejnym zleceniu. </w:t>
      </w:r>
    </w:p>
    <w:p w:rsidR="00227B33" w:rsidRDefault="00227B33" w:rsidP="00227B33">
      <w:pPr>
        <w:pStyle w:val="Akapitzlist"/>
        <w:spacing w:before="120" w:after="120"/>
        <w:ind w:left="0"/>
        <w:jc w:val="both"/>
        <w:rPr>
          <w:b/>
          <w:sz w:val="24"/>
          <w:szCs w:val="24"/>
        </w:rPr>
      </w:pPr>
      <w:r>
        <w:rPr>
          <w:b/>
          <w:sz w:val="24"/>
          <w:szCs w:val="24"/>
        </w:rPr>
        <w:t>Odpowiedź: Zgodnie z odpowiedzią na pytanie nr 3 a) odrzucenie kandydatury specjalisty w procesie weryfikacji nastąpi w sytuacji, gdy nie spełni on wymagań dla danej roli jasno określonych w SIWZ i jej załącznikach. Zatem co do zasady Wykonawca nie powinien prezentować kandydatury tej samej osoby w przypadku innego zlecenia dla takiej samej roli określonej w SIWZ, skoro z góry będzie wiedział, że osoba ta nie spełnia ww. kwalifikacji.</w:t>
      </w:r>
    </w:p>
    <w:p w:rsidR="00227B33" w:rsidRDefault="00227B33" w:rsidP="00227B33">
      <w:pPr>
        <w:pStyle w:val="Akapitzlist"/>
        <w:spacing w:before="120" w:after="120"/>
        <w:ind w:left="0"/>
        <w:jc w:val="both"/>
        <w:rPr>
          <w:b/>
          <w:sz w:val="24"/>
          <w:szCs w:val="24"/>
        </w:rPr>
      </w:pPr>
      <w:r>
        <w:rPr>
          <w:b/>
          <w:sz w:val="24"/>
          <w:szCs w:val="24"/>
        </w:rPr>
        <w:t>Zamawiający dopuszcza jednak możliwość ponownego zaprezentowania kandydatury danego specjalisty w innym Zleceniu.</w:t>
      </w:r>
    </w:p>
    <w:p w:rsidR="00227B33" w:rsidRDefault="00227B33" w:rsidP="00227B33">
      <w:pPr>
        <w:pStyle w:val="Akapitzlist"/>
        <w:spacing w:before="120" w:after="120"/>
        <w:ind w:left="0"/>
        <w:jc w:val="both"/>
        <w:rPr>
          <w:sz w:val="24"/>
          <w:szCs w:val="24"/>
        </w:rPr>
      </w:pPr>
    </w:p>
    <w:p w:rsidR="00227B33" w:rsidRDefault="00227B33" w:rsidP="00227B33">
      <w:pPr>
        <w:pStyle w:val="Akapitzlist"/>
        <w:numPr>
          <w:ilvl w:val="0"/>
          <w:numId w:val="26"/>
        </w:numPr>
        <w:spacing w:before="120" w:after="200" w:line="276" w:lineRule="auto"/>
        <w:ind w:left="0" w:hanging="357"/>
        <w:jc w:val="both"/>
        <w:rPr>
          <w:sz w:val="24"/>
          <w:szCs w:val="24"/>
        </w:rPr>
      </w:pPr>
      <w:r>
        <w:rPr>
          <w:sz w:val="24"/>
          <w:szCs w:val="24"/>
        </w:rPr>
        <w:t xml:space="preserve">Jakie skutki Zamawiający wiąże z odmową zgody na zastępstwo wynikające z przyczyn losowych (choroba) (§ 4 ust. 9)? Podnieść należy, że pełne przygotowanie zastępcy do podjęcia funkcji osoby zastępowanej wymagałoby aby zastępca uczestniczył w zleceniu wraz z pierwotnie wyznaczonym specjalistą, czego Zamawiający ani nie wymaga ani nie finansuje. W przeciwnym razie konieczne jest przewidzenie czasu na wdrożenie nowego specjalisty w zadania realizowane przez osobę wyłączoną z przyczyn losowych. W tej sytuacji, która ma charakter siły wyższej, Wykonawca powinien mieć możliwość wdrożenia nowego specjalisty w odpowiednim dla zadania i stopnia jego zaawansowania czasie oraz nie powinien ponosić negatywnych konsekwencji oceny, że osoba zastępująca nie jest „wystarczająco przygotowana”. </w:t>
      </w:r>
    </w:p>
    <w:p w:rsidR="00227B33" w:rsidRDefault="00227B33" w:rsidP="00227B33">
      <w:pPr>
        <w:pStyle w:val="Akapitzlist"/>
        <w:spacing w:before="120" w:after="120"/>
        <w:ind w:left="0"/>
        <w:jc w:val="both"/>
        <w:rPr>
          <w:b/>
          <w:sz w:val="24"/>
          <w:szCs w:val="24"/>
        </w:rPr>
      </w:pPr>
      <w:r>
        <w:rPr>
          <w:b/>
          <w:sz w:val="24"/>
          <w:szCs w:val="24"/>
        </w:rPr>
        <w:lastRenderedPageBreak/>
        <w:t>Odpowiedź: Zgodnie z zapisami SIWZ i jej załączników Zamawiający nie wiąże z ewentualną odmową swojej zgody na zastępstwo żadnych negatywnych skutków dla Wykonawcy. Jedynym skutkiem braku zastępstwa będzie brak realizacji zadań przez specjalistę, któremu udzielono Zlecenia, a co za tym idzie niższe wynagrodzenie Wykonawcy wynikające z nieprzepracowanych przez specjalistę Roboczogodzin.</w:t>
      </w:r>
    </w:p>
    <w:p w:rsidR="00F355C3" w:rsidRDefault="00F355C3" w:rsidP="00227B33">
      <w:pPr>
        <w:pStyle w:val="Akapitzlist"/>
        <w:spacing w:before="120" w:after="120"/>
        <w:ind w:left="0"/>
        <w:jc w:val="both"/>
        <w:rPr>
          <w:sz w:val="24"/>
          <w:szCs w:val="24"/>
        </w:rPr>
      </w:pPr>
    </w:p>
    <w:p w:rsidR="00227B33" w:rsidRDefault="00227B33" w:rsidP="00227B33">
      <w:pPr>
        <w:pStyle w:val="Akapitzlist"/>
        <w:numPr>
          <w:ilvl w:val="0"/>
          <w:numId w:val="26"/>
        </w:numPr>
        <w:spacing w:before="120" w:after="200" w:line="276" w:lineRule="auto"/>
        <w:ind w:left="0" w:hanging="357"/>
        <w:jc w:val="both"/>
        <w:rPr>
          <w:sz w:val="24"/>
          <w:szCs w:val="24"/>
        </w:rPr>
      </w:pPr>
      <w:r>
        <w:rPr>
          <w:sz w:val="24"/>
          <w:szCs w:val="24"/>
        </w:rPr>
        <w:t>Kary umowne - Czy np. nieobecność specjalisty wynikająca z przyczyn losowych, przy braku możliwości wdrożenia nowego z uwagi na specyfikę i stopień zaawansowania realizowanych działań, (np. tydzień przed odbiorem prac trudno wejść „z marszu” w projekt) będzie kwalifikowana jako siła wyższa?</w:t>
      </w:r>
    </w:p>
    <w:p w:rsidR="00227B33" w:rsidRDefault="00227B33" w:rsidP="00227B33">
      <w:pPr>
        <w:pStyle w:val="Akapitzlist"/>
        <w:spacing w:before="120"/>
        <w:ind w:left="0"/>
        <w:jc w:val="both"/>
        <w:rPr>
          <w:b/>
          <w:sz w:val="24"/>
          <w:szCs w:val="24"/>
        </w:rPr>
      </w:pPr>
      <w:r>
        <w:rPr>
          <w:b/>
          <w:sz w:val="24"/>
          <w:szCs w:val="24"/>
        </w:rPr>
        <w:t xml:space="preserve">Odpowiedź: Cel pytania jest niejasny. Pojęcie siły wyższej zostało zdefiniowanie we wzorze Umowy Wykonawczej, stanowiącym załącznik nr 5 do SIWZ. </w:t>
      </w:r>
    </w:p>
    <w:p w:rsidR="00227B33" w:rsidRDefault="00227B33" w:rsidP="00227B33">
      <w:pPr>
        <w:pStyle w:val="Akapitzlist"/>
        <w:spacing w:before="120"/>
        <w:ind w:left="0"/>
        <w:jc w:val="both"/>
        <w:rPr>
          <w:b/>
          <w:sz w:val="24"/>
          <w:szCs w:val="24"/>
        </w:rPr>
      </w:pPr>
      <w:r>
        <w:rPr>
          <w:b/>
          <w:sz w:val="24"/>
          <w:szCs w:val="24"/>
        </w:rPr>
        <w:t>Należy zaznaczyć, że zgodnie z treścią SIWZ i jej załączników Zamawiający nie oczekuje, iż nowy specjalista zaproponowany na zastępstwo przez Wykonawcę będzie w pełni wdrożony w specyfikę projektu, a jedynie że będzie posiadał kwalifikacje jednoznacznie określone w SWIZ dla roli wskazanej w Zleceniu specjalisty zastępowanego. To do Zamawiającego należy decyzja, czy specyfika zadań uniemożliwia ich realizację przez specjalistę – zastępcę ze względu na jego brak wdrożenia w projekt. W takiej sytuacji, zgodnie z odpowiedzią na pytanie nr 5 oraz treścią SIWZ i jej załączników, Zamawiający nie przewiduje kary umownej za przerwę w pracy specjalisty z przyczyn losowych.</w:t>
      </w:r>
    </w:p>
    <w:p w:rsidR="00F355C3" w:rsidRDefault="00F355C3" w:rsidP="00227B33">
      <w:pPr>
        <w:pStyle w:val="Akapitzlist"/>
        <w:spacing w:before="120"/>
        <w:ind w:left="0"/>
        <w:jc w:val="both"/>
        <w:rPr>
          <w:b/>
          <w:sz w:val="24"/>
          <w:szCs w:val="24"/>
        </w:rPr>
      </w:pPr>
    </w:p>
    <w:p w:rsidR="00227B33" w:rsidRDefault="00227B33" w:rsidP="00227B33">
      <w:pPr>
        <w:pStyle w:val="Akapitzlist"/>
        <w:numPr>
          <w:ilvl w:val="0"/>
          <w:numId w:val="26"/>
        </w:numPr>
        <w:spacing w:before="120" w:line="276" w:lineRule="auto"/>
        <w:ind w:left="0"/>
        <w:jc w:val="both"/>
        <w:rPr>
          <w:sz w:val="24"/>
          <w:szCs w:val="24"/>
        </w:rPr>
      </w:pPr>
      <w:r>
        <w:rPr>
          <w:sz w:val="24"/>
          <w:szCs w:val="24"/>
        </w:rPr>
        <w:t>§ 12 ust. 3 umowy wykonawczej - interpretowany literalnie oznacza konieczność oddania Zamawiającemu infrastruktury technicznej Wykonawcy, zawiera ona bowiem nośniki na których zapisano stanowiące jego własność kody i dokumentację - dyski w laptopach, komputerach stacjonarnych, serwerach. Czy nie wystarczy skasowanie tych produktów?</w:t>
      </w:r>
    </w:p>
    <w:p w:rsidR="00227B33" w:rsidRDefault="00227B33" w:rsidP="00227B33">
      <w:pPr>
        <w:pStyle w:val="Akapitzlist"/>
        <w:spacing w:before="120"/>
        <w:ind w:left="0"/>
        <w:jc w:val="both"/>
        <w:rPr>
          <w:b/>
          <w:sz w:val="24"/>
          <w:szCs w:val="24"/>
        </w:rPr>
      </w:pPr>
      <w:r>
        <w:rPr>
          <w:b/>
          <w:sz w:val="24"/>
          <w:szCs w:val="24"/>
        </w:rPr>
        <w:t>Odpowiedź: Pojęcie nośników, o których mowa w § 12 ust. 3, odnosi się do zapisów § 12 ust. 1, a zatem oznacza nośniki, na których Zamawiający przekazał Wykonawcy dokumenty, materiały lub kody źródłowe. Zgodnie z postanowieniami § 12 ust. 2 Wykonawca może je powielić jedynie po uzyskaniu pisemnej zgody Zamawiającego.</w:t>
      </w:r>
    </w:p>
    <w:p w:rsidR="003A22D3" w:rsidRDefault="003A22D3" w:rsidP="003A22D3">
      <w:pPr>
        <w:rPr>
          <w:sz w:val="24"/>
          <w:szCs w:val="24"/>
          <w:lang w:eastAsia="en-US"/>
        </w:rPr>
      </w:pPr>
    </w:p>
    <w:p w:rsidR="00805928" w:rsidRPr="003A22D3" w:rsidRDefault="00805928" w:rsidP="00805928">
      <w:pPr>
        <w:pStyle w:val="Nagwek1"/>
        <w:spacing w:after="120"/>
        <w:rPr>
          <w:rFonts w:ascii="Times New Roman" w:hAnsi="Times New Roman" w:cs="Times New Roman"/>
          <w:sz w:val="24"/>
          <w:szCs w:val="24"/>
        </w:rPr>
      </w:pPr>
      <w:r>
        <w:rPr>
          <w:rFonts w:ascii="Times New Roman" w:hAnsi="Times New Roman" w:cs="Times New Roman"/>
          <w:sz w:val="24"/>
          <w:szCs w:val="24"/>
        </w:rPr>
        <w:t>Zestaw pytań nr 2</w:t>
      </w:r>
      <w:r w:rsidR="00BF6160">
        <w:rPr>
          <w:rFonts w:ascii="Times New Roman" w:hAnsi="Times New Roman" w:cs="Times New Roman"/>
          <w:sz w:val="24"/>
          <w:szCs w:val="24"/>
        </w:rPr>
        <w:t xml:space="preserve"> z dnia 09 maja 2019 r.</w:t>
      </w:r>
    </w:p>
    <w:p w:rsidR="00BF6160" w:rsidRPr="00642F84" w:rsidRDefault="00BF6160" w:rsidP="00BF6160">
      <w:pPr>
        <w:spacing w:line="276" w:lineRule="auto"/>
        <w:jc w:val="both"/>
        <w:rPr>
          <w:sz w:val="24"/>
          <w:szCs w:val="24"/>
        </w:rPr>
      </w:pPr>
    </w:p>
    <w:p w:rsidR="00BF6160" w:rsidRPr="00642F84" w:rsidRDefault="00BF6160" w:rsidP="00BF6160">
      <w:pPr>
        <w:pStyle w:val="Akapitzlist"/>
        <w:numPr>
          <w:ilvl w:val="0"/>
          <w:numId w:val="28"/>
        </w:numPr>
        <w:spacing w:after="160" w:line="276" w:lineRule="auto"/>
        <w:ind w:left="426"/>
        <w:jc w:val="both"/>
        <w:rPr>
          <w:sz w:val="24"/>
          <w:szCs w:val="24"/>
        </w:rPr>
      </w:pPr>
      <w:r w:rsidRPr="00642F84">
        <w:rPr>
          <w:sz w:val="24"/>
          <w:szCs w:val="24"/>
        </w:rPr>
        <w:t>Dotyczy pkt 5.1.2.2 (Kwalifikacji zespołu dla Części 2)</w:t>
      </w:r>
    </w:p>
    <w:p w:rsidR="00BF6160" w:rsidRPr="00642F84" w:rsidRDefault="00BF6160" w:rsidP="00BF6160">
      <w:pPr>
        <w:spacing w:line="276" w:lineRule="auto"/>
        <w:ind w:left="426"/>
        <w:jc w:val="both"/>
        <w:rPr>
          <w:sz w:val="24"/>
          <w:szCs w:val="24"/>
        </w:rPr>
      </w:pPr>
      <w:r w:rsidRPr="00642F84">
        <w:rPr>
          <w:sz w:val="24"/>
          <w:szCs w:val="24"/>
        </w:rPr>
        <w:t>Czy Zamawiający jako „inny certyfikat audytorski z zakresu bezpieczeństwa infrastruktury IT” uzna certyfikat audytora wewnętrznego ISO 27001?</w:t>
      </w:r>
    </w:p>
    <w:p w:rsidR="00BF6160" w:rsidRDefault="00BF6160" w:rsidP="00BF6160">
      <w:pPr>
        <w:spacing w:line="276" w:lineRule="auto"/>
        <w:ind w:left="426"/>
        <w:jc w:val="both"/>
        <w:rPr>
          <w:b/>
          <w:sz w:val="24"/>
          <w:szCs w:val="24"/>
        </w:rPr>
      </w:pPr>
      <w:r w:rsidRPr="00F355C3">
        <w:rPr>
          <w:b/>
          <w:sz w:val="24"/>
          <w:szCs w:val="24"/>
        </w:rPr>
        <w:t>Odpowiedź: Zamawiający informuje, iż uzna certyfikat ISO 27001 jako inny certyfikat audytorski z zakresu bezpieczeństwa infrastruktury IT, o którym mowa w punkcie 5.1.2.2. dokumentu Opis Przedmiotu Zamówienia</w:t>
      </w:r>
      <w:r w:rsidR="00F355C3">
        <w:rPr>
          <w:b/>
          <w:sz w:val="24"/>
          <w:szCs w:val="24"/>
        </w:rPr>
        <w:t>.</w:t>
      </w:r>
    </w:p>
    <w:p w:rsidR="00F355C3" w:rsidRDefault="00F355C3" w:rsidP="00BF6160">
      <w:pPr>
        <w:spacing w:line="276" w:lineRule="auto"/>
        <w:ind w:left="426"/>
        <w:jc w:val="both"/>
        <w:rPr>
          <w:b/>
          <w:sz w:val="24"/>
          <w:szCs w:val="24"/>
        </w:rPr>
      </w:pPr>
    </w:p>
    <w:p w:rsidR="00BF6160" w:rsidRPr="00642F84" w:rsidRDefault="00BF6160" w:rsidP="00BF6160">
      <w:pPr>
        <w:pStyle w:val="Akapitzlist"/>
        <w:numPr>
          <w:ilvl w:val="0"/>
          <w:numId w:val="28"/>
        </w:numPr>
        <w:spacing w:after="160" w:line="276" w:lineRule="auto"/>
        <w:ind w:left="426"/>
        <w:jc w:val="both"/>
        <w:rPr>
          <w:sz w:val="24"/>
          <w:szCs w:val="24"/>
        </w:rPr>
      </w:pPr>
      <w:r w:rsidRPr="00642F84">
        <w:rPr>
          <w:sz w:val="24"/>
          <w:szCs w:val="24"/>
        </w:rPr>
        <w:t>Dotyczy pkt 5.1.2.2 (Kwalifikacji zespołu dla Części 2)</w:t>
      </w:r>
    </w:p>
    <w:p w:rsidR="00BF6160" w:rsidRPr="00642F84" w:rsidRDefault="00BF6160" w:rsidP="00BF6160">
      <w:pPr>
        <w:spacing w:line="276" w:lineRule="auto"/>
        <w:ind w:firstLine="426"/>
        <w:jc w:val="both"/>
        <w:rPr>
          <w:sz w:val="24"/>
          <w:szCs w:val="24"/>
        </w:rPr>
      </w:pPr>
      <w:r w:rsidRPr="00642F84">
        <w:rPr>
          <w:sz w:val="24"/>
          <w:szCs w:val="24"/>
        </w:rPr>
        <w:lastRenderedPageBreak/>
        <w:t>Prosimy o wyjaśnienie, czy tester winien posiadać certyfikaty na moment złożenia oferty?</w:t>
      </w:r>
    </w:p>
    <w:p w:rsidR="00BF6160" w:rsidRPr="00642F84" w:rsidRDefault="00BF6160" w:rsidP="00BF6160">
      <w:pPr>
        <w:spacing w:line="276" w:lineRule="auto"/>
        <w:ind w:left="426"/>
        <w:jc w:val="both"/>
        <w:rPr>
          <w:sz w:val="24"/>
          <w:szCs w:val="24"/>
        </w:rPr>
      </w:pPr>
      <w:r w:rsidRPr="00642F84">
        <w:rPr>
          <w:sz w:val="24"/>
          <w:szCs w:val="24"/>
        </w:rPr>
        <w:t>W przypadku pozytywnej odpowiedzi, prosimy o dopuszczenie posiadania certyfikatów na moment rozpoczęcia pracy.</w:t>
      </w:r>
    </w:p>
    <w:p w:rsidR="00BF6160" w:rsidRPr="00642F84" w:rsidRDefault="00BF6160" w:rsidP="00BF6160">
      <w:pPr>
        <w:spacing w:line="276" w:lineRule="auto"/>
        <w:ind w:left="426"/>
        <w:jc w:val="both"/>
        <w:rPr>
          <w:b/>
          <w:sz w:val="24"/>
          <w:szCs w:val="24"/>
        </w:rPr>
      </w:pPr>
      <w:r w:rsidRPr="00642F84">
        <w:rPr>
          <w:b/>
          <w:sz w:val="24"/>
          <w:szCs w:val="24"/>
        </w:rPr>
        <w:t>Odpowiedź: Szczegółowe zasady realizacji umowy wykonawczej zostały zawarte w § 4 tej umowy, której wzór stanowi Załącznik nr 5 do SIWZ. Zgodnie z postanowieniami § 4 ust. 3 pkt 2:</w:t>
      </w:r>
    </w:p>
    <w:p w:rsidR="00BF6160" w:rsidRPr="00642F84" w:rsidRDefault="00BF6160" w:rsidP="00BF6160">
      <w:pPr>
        <w:spacing w:line="276" w:lineRule="auto"/>
        <w:ind w:left="426"/>
        <w:jc w:val="both"/>
        <w:rPr>
          <w:b/>
          <w:sz w:val="24"/>
          <w:szCs w:val="24"/>
        </w:rPr>
      </w:pPr>
      <w:r w:rsidRPr="00642F84">
        <w:rPr>
          <w:b/>
          <w:sz w:val="24"/>
          <w:szCs w:val="24"/>
        </w:rPr>
        <w:t>„</w:t>
      </w:r>
      <w:r w:rsidRPr="00642F84">
        <w:rPr>
          <w:color w:val="000000"/>
          <w:spacing w:val="-4"/>
          <w:sz w:val="24"/>
          <w:szCs w:val="24"/>
        </w:rPr>
        <w:t xml:space="preserve">w terminie 2 Dni Roboczych od dnia przekazania propozycji Zlecenia Wykonawca przekaże Zamawiającemu raport indywidualny zawierający informacje określające profil kompetencyjny (dalej „CV”) specjalisty spełniającego wymagania wskazane dla danej […]. CV winno zawierać co najmniej: imię i nazwisko specjalisty, dane kontaktowe oraz co najmniej informacje o posiadanych przez danego specjalistę kwalifikacjach i doświadczeniu, potwierdzające spełnienie przez specjalistę wymagań określonych dla danej roli w Załączniku nr 1 do Umowy wykonawczej, takie jak: wykształcenie, odbyte kursy, szkolenia, </w:t>
      </w:r>
      <w:r w:rsidRPr="00642F84">
        <w:rPr>
          <w:b/>
          <w:color w:val="000000"/>
          <w:spacing w:val="-4"/>
          <w:sz w:val="24"/>
          <w:szCs w:val="24"/>
        </w:rPr>
        <w:t>posiadane certyfikaty</w:t>
      </w:r>
      <w:r w:rsidRPr="00642F84">
        <w:rPr>
          <w:color w:val="000000"/>
          <w:spacing w:val="-4"/>
          <w:sz w:val="24"/>
          <w:szCs w:val="24"/>
        </w:rPr>
        <w:t>,  przebieg kariery zawodowej (wraz ze wskazaniem zadań wykonywanych w dotychczasowych miejscach pracy), stopień znajomości języków obcych itp.;”</w:t>
      </w:r>
    </w:p>
    <w:p w:rsidR="00BF6160" w:rsidRPr="00642F84" w:rsidRDefault="00BF6160" w:rsidP="00BF6160">
      <w:pPr>
        <w:spacing w:line="276" w:lineRule="auto"/>
        <w:ind w:left="426"/>
        <w:jc w:val="both"/>
        <w:rPr>
          <w:b/>
          <w:sz w:val="24"/>
          <w:szCs w:val="24"/>
        </w:rPr>
      </w:pPr>
      <w:r w:rsidRPr="00642F84">
        <w:rPr>
          <w:b/>
          <w:sz w:val="24"/>
          <w:szCs w:val="24"/>
        </w:rPr>
        <w:t>W związku z powyższym tester powinien posiadać wymagane przez Zamawiającego w Załączniku nr 1 certyfikaty na dzień przekazania Zamawiającemu przez Wykonawcę raportu indywidualnego specjalisty (CV).</w:t>
      </w:r>
    </w:p>
    <w:p w:rsidR="00805928" w:rsidRDefault="00805928" w:rsidP="003A22D3">
      <w:pPr>
        <w:rPr>
          <w:sz w:val="24"/>
          <w:szCs w:val="24"/>
          <w:lang w:eastAsia="en-US"/>
        </w:rPr>
      </w:pPr>
    </w:p>
    <w:p w:rsidR="00805928" w:rsidRPr="003A22D3" w:rsidRDefault="00805928" w:rsidP="00805928">
      <w:pPr>
        <w:pStyle w:val="Nagwek1"/>
        <w:spacing w:after="120"/>
        <w:rPr>
          <w:rFonts w:ascii="Times New Roman" w:hAnsi="Times New Roman" w:cs="Times New Roman"/>
          <w:sz w:val="24"/>
          <w:szCs w:val="24"/>
        </w:rPr>
      </w:pPr>
      <w:r>
        <w:rPr>
          <w:rFonts w:ascii="Times New Roman" w:hAnsi="Times New Roman" w:cs="Times New Roman"/>
          <w:sz w:val="24"/>
          <w:szCs w:val="24"/>
        </w:rPr>
        <w:t>Zestaw pytań nr 3</w:t>
      </w:r>
      <w:r w:rsidR="00722CB8">
        <w:rPr>
          <w:rFonts w:ascii="Times New Roman" w:hAnsi="Times New Roman" w:cs="Times New Roman"/>
          <w:sz w:val="24"/>
          <w:szCs w:val="24"/>
        </w:rPr>
        <w:t xml:space="preserve"> z dnia 09 maja 2019 r.</w:t>
      </w: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Wnosimy o racjonalizację zapisów umowy ramowej, w szczególności w zakresie dotyczącym możliwości odstąpienia przez Zamawiającego od Umowy.</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Obecnie zapisy są zaproponowane w sposób rażąco naruszający zasady proporcjonalności. Stosowanie zasady proporcjonalności jest jedną z najistotniejszych zasad prawa UE, a w odniesieniu do zamówień publicznych została powołana w dyrektywie klasycznej już w 2014 roku i została ona również wprowadzona do art. 7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Dlatego można i należy się powołać na nią w odniesieniu do kształtowania warunków i treści umowy.</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Niezależnie od powyższego sugerujemy zastosowanie racjonalnych warunków umowy bez nadmiernego obciążania Wykonawcy, które ostatecznie skutkuję ponoszeniem nieuzasadnionych, większych kosztów przez Zamawiającego.</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W związku z powyższym zwracamy się z pytanie czy Zamawiający dopuszcza modyfikację zapisów umowy par. 7 ust. 1 w następujący sposób:</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 wykreślenie pkt. 2,</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 wykreślenie pkt. 4,</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Zwracamy uwagę, że dla pkt 4 efektem odstąpienia od Umowy Wykonawczej są kary określone w Umowie Wykonawczej a karanie Wykonawcy dodatkowymi karami wynikającymi z Umowy Ramowej stanowi podwójne naliczenie kar za to samą przewinienie.</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Pkt 2. natomiast powoduje, że Wykonawcy muszą skalkulować wysokie ryzyko polegające na niewiedzy (w momencie zawierania umowy ramowej) tego czego może oczekiwać Zamawiający od Wykonawców w ramach zapytań szczegółowych i konieczność naliczenie do ceny swojej oferty dużego bufora na stałą gotowości do świadczenia niesprecyzowanej (w nieokreślonym zakresie i nieokreślonym terminie) na dziś usługi.</w:t>
      </w:r>
    </w:p>
    <w:p w:rsidR="00B018C7" w:rsidRDefault="00B018C7" w:rsidP="00B018C7">
      <w:pPr>
        <w:pStyle w:val="Zwykytekst"/>
        <w:spacing w:line="276" w:lineRule="auto"/>
        <w:jc w:val="both"/>
        <w:rPr>
          <w:rFonts w:ascii="Times New Roman" w:hAnsi="Times New Roman" w:cs="Times New Roman"/>
          <w:sz w:val="24"/>
          <w:szCs w:val="24"/>
        </w:rPr>
      </w:pPr>
    </w:p>
    <w:p w:rsidR="00B018C7" w:rsidRDefault="00B018C7" w:rsidP="00B018C7">
      <w:pPr>
        <w:pStyle w:val="Zwykytekst"/>
        <w:spacing w:line="276" w:lineRule="auto"/>
        <w:jc w:val="both"/>
        <w:rPr>
          <w:rFonts w:ascii="Times New Roman" w:hAnsi="Times New Roman" w:cs="Times New Roman"/>
          <w:sz w:val="24"/>
          <w:szCs w:val="24"/>
        </w:rPr>
      </w:pPr>
      <w:r>
        <w:rPr>
          <w:rFonts w:ascii="Times New Roman" w:hAnsi="Times New Roman" w:cs="Times New Roman"/>
          <w:sz w:val="24"/>
          <w:szCs w:val="24"/>
        </w:rPr>
        <w:t>Ponoszenie takiego kosztu przez Zamawiającego nie jest racjonalne i nie może być niczym uzasadnione, szczególnie, że Zamawiający zamierza podpisać umowę ramową z wieloma Wykonawcami.</w:t>
      </w:r>
    </w:p>
    <w:p w:rsidR="00B018C7" w:rsidRDefault="00B018C7" w:rsidP="00B018C7">
      <w:pPr>
        <w:spacing w:line="276" w:lineRule="auto"/>
        <w:jc w:val="both"/>
        <w:rPr>
          <w:sz w:val="24"/>
          <w:szCs w:val="24"/>
        </w:rPr>
      </w:pPr>
    </w:p>
    <w:p w:rsidR="00B018C7" w:rsidRDefault="00B018C7" w:rsidP="00B018C7">
      <w:pPr>
        <w:spacing w:line="276" w:lineRule="auto"/>
        <w:jc w:val="both"/>
        <w:rPr>
          <w:b/>
          <w:sz w:val="24"/>
          <w:szCs w:val="24"/>
        </w:rPr>
      </w:pPr>
      <w:r>
        <w:rPr>
          <w:b/>
          <w:sz w:val="24"/>
          <w:szCs w:val="24"/>
        </w:rPr>
        <w:t>Odpowiedź: Zamawiający nie wyraża zgody na modyfikację § 7 ust. 1 umowy ramowej poprzez wykreślenie pkt 2 i pkt 4.</w:t>
      </w:r>
    </w:p>
    <w:p w:rsidR="00B018C7" w:rsidRDefault="00B018C7" w:rsidP="00B018C7">
      <w:pPr>
        <w:spacing w:line="276" w:lineRule="auto"/>
        <w:jc w:val="both"/>
        <w:rPr>
          <w:sz w:val="24"/>
          <w:szCs w:val="24"/>
        </w:rPr>
      </w:pPr>
      <w:r>
        <w:rPr>
          <w:b/>
          <w:sz w:val="24"/>
          <w:szCs w:val="24"/>
        </w:rPr>
        <w:t>Należy jednocześnie podkreślić, że zgodnie z treścią § 6 ust. 1 umowy ramowej Zamawiający nie przewiduje naliczenia kar umownych z przyczyn o których mowa w § 7 ust. 1 pkt 4. W świetle powyższego, następujący argument przytoczony w ramach pytania należy uznać za bezpodstawny: „</w:t>
      </w:r>
      <w:r>
        <w:rPr>
          <w:sz w:val="24"/>
          <w:szCs w:val="24"/>
        </w:rPr>
        <w:t>dla pkt 4 efektem odstąpienia od Umowy Wykonawczej są kary określone w Umowie Wykonawczej a karanie Wykonawcy dodatkowymi karami wynikającymi z Umowy Ramowej stanowi podwójne naliczenie kar za to samą przewinie”.</w:t>
      </w:r>
    </w:p>
    <w:p w:rsidR="00805928" w:rsidRDefault="00805928" w:rsidP="003A22D3">
      <w:pPr>
        <w:rPr>
          <w:sz w:val="24"/>
          <w:szCs w:val="24"/>
          <w:lang w:eastAsia="en-US"/>
        </w:rPr>
      </w:pPr>
    </w:p>
    <w:p w:rsidR="00805928" w:rsidRDefault="00805928" w:rsidP="003A22D3">
      <w:pPr>
        <w:rPr>
          <w:sz w:val="24"/>
          <w:szCs w:val="24"/>
          <w:lang w:eastAsia="en-US"/>
        </w:rPr>
      </w:pPr>
    </w:p>
    <w:p w:rsidR="00805928" w:rsidRPr="003A22D3" w:rsidRDefault="00805928" w:rsidP="003A22D3">
      <w:pPr>
        <w:rPr>
          <w:sz w:val="24"/>
          <w:szCs w:val="24"/>
          <w:lang w:eastAsia="en-US"/>
        </w:rPr>
      </w:pPr>
    </w:p>
    <w:p w:rsidR="0038647F" w:rsidRDefault="008E3305" w:rsidP="008E3305">
      <w:pPr>
        <w:jc w:val="both"/>
        <w:rPr>
          <w:sz w:val="24"/>
          <w:szCs w:val="24"/>
        </w:rPr>
      </w:pPr>
      <w:r>
        <w:rPr>
          <w:b/>
          <w:sz w:val="24"/>
          <w:szCs w:val="24"/>
        </w:rPr>
        <w:t>II.</w:t>
      </w:r>
      <w:r>
        <w:rPr>
          <w:sz w:val="24"/>
          <w:szCs w:val="24"/>
        </w:rPr>
        <w:t xml:space="preserve"> </w:t>
      </w:r>
      <w:r w:rsidR="0038647F">
        <w:rPr>
          <w:sz w:val="24"/>
          <w:szCs w:val="24"/>
        </w:rPr>
        <w:t xml:space="preserve"> Jednocześnie Zamawiający informuje, że zmienia treść:</w:t>
      </w:r>
    </w:p>
    <w:p w:rsidR="0038647F" w:rsidRDefault="0038647F" w:rsidP="0038647F">
      <w:pPr>
        <w:pStyle w:val="Akapitzlist"/>
        <w:numPr>
          <w:ilvl w:val="0"/>
          <w:numId w:val="22"/>
        </w:numPr>
        <w:jc w:val="both"/>
        <w:rPr>
          <w:sz w:val="24"/>
          <w:szCs w:val="24"/>
        </w:rPr>
      </w:pPr>
      <w:r w:rsidRPr="0038647F">
        <w:rPr>
          <w:sz w:val="24"/>
          <w:szCs w:val="24"/>
        </w:rPr>
        <w:t xml:space="preserve"> Załącznika nr 1 </w:t>
      </w:r>
      <w:r>
        <w:rPr>
          <w:sz w:val="24"/>
          <w:szCs w:val="24"/>
        </w:rPr>
        <w:t>do SIWZ Opis przedmiotu zamówienia w sposób następujący:</w:t>
      </w:r>
    </w:p>
    <w:p w:rsidR="0038647F" w:rsidRDefault="00AF1A7D" w:rsidP="00AF1A7D">
      <w:pPr>
        <w:pStyle w:val="Akapitzlist"/>
        <w:ind w:hanging="153"/>
        <w:jc w:val="both"/>
        <w:rPr>
          <w:sz w:val="24"/>
          <w:szCs w:val="24"/>
        </w:rPr>
      </w:pPr>
      <w:r>
        <w:rPr>
          <w:sz w:val="24"/>
          <w:szCs w:val="24"/>
        </w:rPr>
        <w:t xml:space="preserve">1) </w:t>
      </w:r>
      <w:r w:rsidR="00BE3DBC">
        <w:rPr>
          <w:sz w:val="24"/>
          <w:szCs w:val="24"/>
        </w:rPr>
        <w:t>W Tabeli 2 minimalne wymagania dot. zespołu dla Części 1 w pkt. 5.1.1.4:</w:t>
      </w:r>
    </w:p>
    <w:p w:rsidR="006D1756" w:rsidRDefault="00BE3DBC" w:rsidP="0038647F">
      <w:pPr>
        <w:pStyle w:val="Akapitzlist"/>
        <w:jc w:val="both"/>
        <w:rPr>
          <w:sz w:val="24"/>
          <w:szCs w:val="24"/>
        </w:rPr>
      </w:pPr>
      <w:r>
        <w:rPr>
          <w:sz w:val="24"/>
          <w:szCs w:val="24"/>
        </w:rPr>
        <w:t xml:space="preserve">- </w:t>
      </w:r>
      <w:r w:rsidR="007A4269">
        <w:rPr>
          <w:sz w:val="24"/>
          <w:szCs w:val="24"/>
        </w:rPr>
        <w:t xml:space="preserve">tekst: „posiada umiejętność praktycznego stosowania wytycznych </w:t>
      </w:r>
      <w:proofErr w:type="spellStart"/>
      <w:r w:rsidR="007A4269">
        <w:rPr>
          <w:sz w:val="24"/>
          <w:szCs w:val="24"/>
        </w:rPr>
        <w:t>Pixel</w:t>
      </w:r>
      <w:proofErr w:type="spellEnd"/>
      <w:r w:rsidR="007A4269">
        <w:rPr>
          <w:sz w:val="24"/>
          <w:szCs w:val="24"/>
        </w:rPr>
        <w:t xml:space="preserve"> Perfect Precision” po </w:t>
      </w:r>
      <w:proofErr w:type="spellStart"/>
      <w:r w:rsidR="007A4269">
        <w:rPr>
          <w:sz w:val="24"/>
          <w:szCs w:val="24"/>
        </w:rPr>
        <w:t>punktorze</w:t>
      </w:r>
      <w:proofErr w:type="spellEnd"/>
      <w:r w:rsidR="007A4269">
        <w:rPr>
          <w:sz w:val="24"/>
          <w:szCs w:val="24"/>
        </w:rPr>
        <w:t xml:space="preserve"> o treści „zna normę PN-EN ISO 9241-210:2011” </w:t>
      </w:r>
      <w:r w:rsidR="006D1756">
        <w:rPr>
          <w:sz w:val="24"/>
          <w:szCs w:val="24"/>
        </w:rPr>
        <w:t xml:space="preserve">zostaje oznaczony osobnym </w:t>
      </w:r>
      <w:proofErr w:type="spellStart"/>
      <w:r w:rsidR="006D1756">
        <w:rPr>
          <w:sz w:val="24"/>
          <w:szCs w:val="24"/>
        </w:rPr>
        <w:t>punktorem</w:t>
      </w:r>
      <w:proofErr w:type="spellEnd"/>
      <w:r w:rsidR="006D1756">
        <w:rPr>
          <w:sz w:val="24"/>
          <w:szCs w:val="24"/>
        </w:rPr>
        <w:t xml:space="preserve">. </w:t>
      </w:r>
    </w:p>
    <w:p w:rsidR="00BE3DBC" w:rsidRDefault="006D1756" w:rsidP="0038647F">
      <w:pPr>
        <w:pStyle w:val="Akapitzlist"/>
        <w:jc w:val="both"/>
        <w:rPr>
          <w:sz w:val="24"/>
          <w:szCs w:val="24"/>
        </w:rPr>
      </w:pPr>
      <w:r>
        <w:rPr>
          <w:sz w:val="24"/>
          <w:szCs w:val="24"/>
        </w:rPr>
        <w:t>Prawidłowy zapis</w:t>
      </w:r>
      <w:r w:rsidR="00902ABE">
        <w:rPr>
          <w:sz w:val="24"/>
          <w:szCs w:val="24"/>
        </w:rPr>
        <w:t xml:space="preserve"> ww. tekstu</w:t>
      </w:r>
      <w:r>
        <w:rPr>
          <w:sz w:val="24"/>
          <w:szCs w:val="24"/>
        </w:rPr>
        <w:t>:</w:t>
      </w:r>
    </w:p>
    <w:p w:rsidR="00BE3DBC" w:rsidRPr="00BE3DBC" w:rsidRDefault="00BE3DBC" w:rsidP="00BE3DBC">
      <w:pPr>
        <w:pStyle w:val="Akapitzlist"/>
        <w:numPr>
          <w:ilvl w:val="0"/>
          <w:numId w:val="25"/>
        </w:numPr>
        <w:jc w:val="both"/>
        <w:rPr>
          <w:sz w:val="24"/>
          <w:szCs w:val="24"/>
        </w:rPr>
      </w:pPr>
      <w:r w:rsidRPr="00BE3DBC">
        <w:rPr>
          <w:sz w:val="24"/>
          <w:szCs w:val="24"/>
        </w:rPr>
        <w:t>zna normę PN-EN ISO 9241-210:2011</w:t>
      </w:r>
    </w:p>
    <w:p w:rsidR="00BE3DBC" w:rsidRPr="00BE3DBC" w:rsidRDefault="00BE3DBC" w:rsidP="00BE3DBC">
      <w:pPr>
        <w:pStyle w:val="Akapitzlist"/>
        <w:numPr>
          <w:ilvl w:val="0"/>
          <w:numId w:val="25"/>
        </w:numPr>
        <w:jc w:val="both"/>
        <w:rPr>
          <w:sz w:val="24"/>
          <w:szCs w:val="24"/>
        </w:rPr>
      </w:pPr>
      <w:r w:rsidRPr="00BE3DBC">
        <w:rPr>
          <w:sz w:val="24"/>
          <w:szCs w:val="24"/>
        </w:rPr>
        <w:t xml:space="preserve">posiada umiejętność praktycznego stosowania wytycznych </w:t>
      </w:r>
      <w:proofErr w:type="spellStart"/>
      <w:r w:rsidRPr="00BE3DBC">
        <w:rPr>
          <w:sz w:val="24"/>
          <w:szCs w:val="24"/>
        </w:rPr>
        <w:t>Pixel</w:t>
      </w:r>
      <w:proofErr w:type="spellEnd"/>
      <w:r w:rsidRPr="00BE3DBC">
        <w:rPr>
          <w:sz w:val="24"/>
          <w:szCs w:val="24"/>
        </w:rPr>
        <w:t xml:space="preserve"> Perfect Precision,</w:t>
      </w:r>
    </w:p>
    <w:p w:rsidR="00BE3DBC" w:rsidRDefault="00BE3DBC" w:rsidP="00BE3DBC">
      <w:pPr>
        <w:ind w:firstLine="709"/>
        <w:jc w:val="both"/>
        <w:rPr>
          <w:sz w:val="24"/>
          <w:szCs w:val="24"/>
        </w:rPr>
      </w:pPr>
    </w:p>
    <w:p w:rsidR="00AF1A7D" w:rsidRDefault="00AF1A7D" w:rsidP="00AF1A7D">
      <w:pPr>
        <w:ind w:left="993" w:hanging="426"/>
        <w:jc w:val="both"/>
        <w:rPr>
          <w:sz w:val="24"/>
          <w:szCs w:val="24"/>
        </w:rPr>
      </w:pPr>
      <w:r>
        <w:rPr>
          <w:sz w:val="24"/>
          <w:szCs w:val="24"/>
        </w:rPr>
        <w:t>2) W podrozdziale 5.1.2. zapis nad tabelą o brzmieniu „Tabela 4 minimalne wymagania dot. zespołu dla Części 2” otrzymuje brzmienie: „Tabela 3 minimalne wymagania dot. zespołu dla Części 2”</w:t>
      </w:r>
    </w:p>
    <w:p w:rsidR="00AF1A7D" w:rsidRDefault="00AF1A7D" w:rsidP="00AF1A7D">
      <w:pPr>
        <w:ind w:left="993" w:hanging="426"/>
        <w:jc w:val="both"/>
        <w:rPr>
          <w:sz w:val="24"/>
          <w:szCs w:val="24"/>
        </w:rPr>
      </w:pPr>
      <w:r>
        <w:rPr>
          <w:sz w:val="24"/>
          <w:szCs w:val="24"/>
        </w:rPr>
        <w:t>3) w podrozdziale 5.1.3. zapis nad tabelą o brzmieniu „Tabela 5 minimalne wymagania dot. zespołu dla Części 3” otrzymuje brzmienie: „Tabela 4 minimalne wymagania dot. zespołu dla Części 3”</w:t>
      </w:r>
    </w:p>
    <w:p w:rsidR="00AF1A7D" w:rsidRDefault="00AF1A7D" w:rsidP="00AF1A7D">
      <w:pPr>
        <w:ind w:left="993" w:hanging="426"/>
        <w:jc w:val="both"/>
        <w:rPr>
          <w:sz w:val="24"/>
          <w:szCs w:val="24"/>
        </w:rPr>
      </w:pPr>
      <w:r>
        <w:rPr>
          <w:sz w:val="24"/>
          <w:szCs w:val="24"/>
        </w:rPr>
        <w:lastRenderedPageBreak/>
        <w:t>4) w rozdziale 6 INNE WYMAGANIA zapis nad tabelą o brzmieniu „Tabela 3 Inne wymagania” otrzymuje brzmienie „Tabela 5 Inne wymagania”</w:t>
      </w:r>
    </w:p>
    <w:p w:rsidR="00AF1A7D" w:rsidRDefault="00AF1A7D" w:rsidP="00AF1A7D">
      <w:pPr>
        <w:ind w:left="993" w:hanging="426"/>
        <w:jc w:val="both"/>
        <w:rPr>
          <w:sz w:val="24"/>
          <w:szCs w:val="24"/>
        </w:rPr>
      </w:pPr>
    </w:p>
    <w:p w:rsidR="00AF1A7D" w:rsidRPr="00AF1A7D" w:rsidRDefault="00AF1A7D" w:rsidP="00AF1A7D">
      <w:pPr>
        <w:pStyle w:val="Akapitzlist"/>
        <w:numPr>
          <w:ilvl w:val="0"/>
          <w:numId w:val="22"/>
        </w:numPr>
        <w:jc w:val="both"/>
        <w:rPr>
          <w:sz w:val="24"/>
          <w:szCs w:val="24"/>
        </w:rPr>
      </w:pPr>
      <w:r>
        <w:rPr>
          <w:sz w:val="24"/>
          <w:szCs w:val="24"/>
        </w:rPr>
        <w:t xml:space="preserve">w Załączniku nr 5 do SIWZ – Wzór umowy </w:t>
      </w:r>
      <w:r w:rsidR="004F411A">
        <w:rPr>
          <w:sz w:val="24"/>
          <w:szCs w:val="24"/>
        </w:rPr>
        <w:t>wykonawczej</w:t>
      </w:r>
      <w:r>
        <w:rPr>
          <w:sz w:val="24"/>
          <w:szCs w:val="24"/>
        </w:rPr>
        <w:t xml:space="preserve"> w §4. Realizacja Umowy wykonawczej - zapis w ust. 3 pkt. 2) o </w:t>
      </w:r>
      <w:r w:rsidR="002A29DD">
        <w:rPr>
          <w:sz w:val="24"/>
          <w:szCs w:val="24"/>
        </w:rPr>
        <w:t xml:space="preserve">brzmieniu: </w:t>
      </w:r>
    </w:p>
    <w:p w:rsidR="00AF1A7D" w:rsidRDefault="002A29DD" w:rsidP="002A29DD">
      <w:pPr>
        <w:ind w:left="993" w:hanging="284"/>
        <w:jc w:val="both"/>
        <w:rPr>
          <w:sz w:val="24"/>
          <w:szCs w:val="24"/>
        </w:rPr>
      </w:pPr>
      <w:r>
        <w:rPr>
          <w:sz w:val="24"/>
          <w:szCs w:val="24"/>
        </w:rPr>
        <w:t>„2</w:t>
      </w:r>
      <w:r w:rsidRPr="002A29DD">
        <w:rPr>
          <w:sz w:val="24"/>
          <w:szCs w:val="24"/>
        </w:rPr>
        <w:t>)</w:t>
      </w:r>
      <w:r w:rsidRPr="002A29DD">
        <w:rPr>
          <w:sz w:val="24"/>
          <w:szCs w:val="24"/>
        </w:rPr>
        <w:tab/>
        <w:t>w terminie 2 Dni Roboczych od dnia przekazania propozycji Zlecenia Wykonawca przekaże Zamawiającemu raport indywidualny zawierający informacje określające profil kompetencyjny (dalej „CV”) specjalisty spełniającego wymagania wskazane dla danej roli oraz określi dostępność specjalisty, z zastrzeżeniem poniżej. CV winno zawierać co najmniej: imię i nazwisko specjalisty, dane kontaktowe oraz co najmniej informacje o posiadanych przez danego specjalistę kwalifikacjach i doświadczeniu, potwierdzające spełnienie przez specjalistę wymagań określonych dla danej roli w Załączniku nr 1 do Umowy wykonawczej, takie jak: wykształcenie, odbyte kursy, szkolenia, posiadane certyfikaty,  przebieg kariery zawodowej (wraz ze wskazaniem zadań wykonywanych w dotychczasowych miejscach pracy), stopień znajomości języków obcych itp.;</w:t>
      </w:r>
      <w:r>
        <w:rPr>
          <w:sz w:val="24"/>
          <w:szCs w:val="24"/>
        </w:rPr>
        <w:t>”</w:t>
      </w:r>
    </w:p>
    <w:p w:rsidR="00AF1A7D" w:rsidRDefault="002A29DD" w:rsidP="00BE3DBC">
      <w:pPr>
        <w:ind w:firstLine="709"/>
        <w:jc w:val="both"/>
        <w:rPr>
          <w:sz w:val="24"/>
          <w:szCs w:val="24"/>
        </w:rPr>
      </w:pPr>
      <w:r>
        <w:rPr>
          <w:sz w:val="24"/>
          <w:szCs w:val="24"/>
        </w:rPr>
        <w:t>Otrzymuje brzmienie:</w:t>
      </w:r>
    </w:p>
    <w:p w:rsidR="002A29DD" w:rsidRDefault="002A29DD" w:rsidP="00BE3DBC">
      <w:pPr>
        <w:ind w:firstLine="709"/>
        <w:jc w:val="both"/>
        <w:rPr>
          <w:sz w:val="24"/>
          <w:szCs w:val="24"/>
        </w:rPr>
      </w:pPr>
    </w:p>
    <w:p w:rsidR="002A29DD" w:rsidRDefault="002A29DD" w:rsidP="002A29DD">
      <w:pPr>
        <w:ind w:left="993" w:hanging="284"/>
        <w:jc w:val="both"/>
        <w:rPr>
          <w:sz w:val="24"/>
          <w:szCs w:val="24"/>
        </w:rPr>
      </w:pPr>
      <w:r>
        <w:rPr>
          <w:sz w:val="24"/>
          <w:szCs w:val="24"/>
        </w:rPr>
        <w:t>„2</w:t>
      </w:r>
      <w:r w:rsidRPr="002A29DD">
        <w:rPr>
          <w:sz w:val="24"/>
          <w:szCs w:val="24"/>
        </w:rPr>
        <w:t>)</w:t>
      </w:r>
      <w:r w:rsidRPr="002A29DD">
        <w:rPr>
          <w:sz w:val="24"/>
          <w:szCs w:val="24"/>
        </w:rPr>
        <w:tab/>
        <w:t xml:space="preserve">w terminie 2 Dni Roboczych od dnia przekazania propozycji Zlecenia Wykonawca przekaże Zamawiającemu raport indywidualny zawierający informacje określające profil kompetencyjny (dalej „CV”) specjalisty spełniającego wymagania wskazane dla danej roli oraz określi dostępność specjalisty, z zastrzeżeniem </w:t>
      </w:r>
      <w:r w:rsidRPr="002A29DD">
        <w:rPr>
          <w:b/>
          <w:sz w:val="24"/>
          <w:szCs w:val="24"/>
        </w:rPr>
        <w:t>3)</w:t>
      </w:r>
      <w:r>
        <w:rPr>
          <w:sz w:val="24"/>
          <w:szCs w:val="24"/>
        </w:rPr>
        <w:t xml:space="preserve"> </w:t>
      </w:r>
      <w:r w:rsidRPr="002A29DD">
        <w:rPr>
          <w:sz w:val="24"/>
          <w:szCs w:val="24"/>
        </w:rPr>
        <w:t>poniżej. CV winno zawierać co najmniej: imię i nazwisko specjalisty, dane kontaktowe oraz co najmniej informacje o posiadanych przez danego specjalistę kwalifikacjach i doświadczeniu, potwierdzające spełnienie przez specjalistę wymagań określonych dla danej roli w Załączniku nr 1 do Umowy wykonawczej, takie jak: wykształcenie, odbyte kursy, szkolenia, posiadane certyfikaty,  przebieg kariery zawodowej (wraz ze wskazaniem zadań wykonywanych w dotychczasowych miejscach pracy), stopień znajomości języków obcych itp.;</w:t>
      </w:r>
      <w:r>
        <w:rPr>
          <w:sz w:val="24"/>
          <w:szCs w:val="24"/>
        </w:rPr>
        <w:t>”</w:t>
      </w:r>
    </w:p>
    <w:p w:rsidR="00EC7FFC" w:rsidRDefault="00EC7FFC" w:rsidP="002A29DD">
      <w:pPr>
        <w:ind w:left="993" w:hanging="284"/>
        <w:jc w:val="both"/>
        <w:rPr>
          <w:sz w:val="24"/>
          <w:szCs w:val="24"/>
        </w:rPr>
      </w:pPr>
    </w:p>
    <w:p w:rsidR="002A29DD" w:rsidRPr="00EC7FFC" w:rsidRDefault="00EC7FFC" w:rsidP="00EC7FFC">
      <w:pPr>
        <w:pStyle w:val="Akapitzlist"/>
        <w:numPr>
          <w:ilvl w:val="0"/>
          <w:numId w:val="22"/>
        </w:numPr>
        <w:jc w:val="both"/>
        <w:rPr>
          <w:sz w:val="24"/>
          <w:szCs w:val="24"/>
        </w:rPr>
      </w:pPr>
      <w:r>
        <w:rPr>
          <w:sz w:val="24"/>
          <w:szCs w:val="24"/>
        </w:rPr>
        <w:t xml:space="preserve">W Załączniku nr 6 do SIWZ/Załącznik nr 4 do umowy nr </w:t>
      </w:r>
      <w:r w:rsidRPr="00EC7FFC">
        <w:rPr>
          <w:sz w:val="24"/>
          <w:szCs w:val="24"/>
        </w:rPr>
        <w:t>[…]</w:t>
      </w:r>
      <w:r>
        <w:rPr>
          <w:sz w:val="24"/>
          <w:szCs w:val="24"/>
        </w:rPr>
        <w:t xml:space="preserve"> wykreślony zostaje zapis o brzmieniu: „□ </w:t>
      </w:r>
      <w:r w:rsidRPr="00EC7FFC">
        <w:rPr>
          <w:i/>
          <w:sz w:val="24"/>
          <w:szCs w:val="24"/>
        </w:rPr>
        <w:t>b) Cena lub koszt oraz dodatkowe kryteria i ich znaczenie</w:t>
      </w:r>
      <w:r>
        <w:rPr>
          <w:sz w:val="24"/>
          <w:szCs w:val="24"/>
        </w:rPr>
        <w:t>*”</w:t>
      </w:r>
    </w:p>
    <w:p w:rsidR="002A29DD" w:rsidRDefault="002A29DD" w:rsidP="00BE3DBC">
      <w:pPr>
        <w:ind w:firstLine="709"/>
        <w:jc w:val="both"/>
        <w:rPr>
          <w:sz w:val="24"/>
          <w:szCs w:val="24"/>
        </w:rPr>
      </w:pPr>
    </w:p>
    <w:p w:rsidR="002A29DD" w:rsidRPr="00BE3DBC" w:rsidRDefault="002A29DD" w:rsidP="00BE3DBC">
      <w:pPr>
        <w:ind w:firstLine="709"/>
        <w:jc w:val="both"/>
        <w:rPr>
          <w:sz w:val="24"/>
          <w:szCs w:val="24"/>
        </w:rPr>
      </w:pPr>
    </w:p>
    <w:p w:rsidR="008E3305" w:rsidRPr="0038647F" w:rsidRDefault="008E3305" w:rsidP="0038647F">
      <w:pPr>
        <w:pStyle w:val="Akapitzlist"/>
        <w:numPr>
          <w:ilvl w:val="0"/>
          <w:numId w:val="21"/>
        </w:numPr>
        <w:ind w:left="426" w:hanging="426"/>
        <w:jc w:val="both"/>
        <w:rPr>
          <w:sz w:val="24"/>
          <w:szCs w:val="24"/>
        </w:rPr>
      </w:pPr>
      <w:r w:rsidRPr="0038647F">
        <w:rPr>
          <w:sz w:val="24"/>
          <w:szCs w:val="24"/>
        </w:rPr>
        <w:t xml:space="preserve">Treść zapytań Wykonawcy, bez ujawniania źródła zapytania wraz </w:t>
      </w:r>
      <w:r w:rsidRPr="0038647F">
        <w:rPr>
          <w:bCs/>
          <w:sz w:val="24"/>
          <w:szCs w:val="24"/>
        </w:rPr>
        <w:t>z wyjaśnieniami (</w:t>
      </w:r>
      <w:r w:rsidRPr="0038647F">
        <w:rPr>
          <w:sz w:val="24"/>
          <w:szCs w:val="24"/>
        </w:rPr>
        <w:t>zgodnie art. 38 ust. 2 ustawy Pzp)</w:t>
      </w:r>
      <w:r w:rsidRPr="0038647F">
        <w:rPr>
          <w:bCs/>
          <w:sz w:val="24"/>
          <w:szCs w:val="24"/>
        </w:rPr>
        <w:t xml:space="preserve"> </w:t>
      </w:r>
      <w:r w:rsidRPr="0038647F">
        <w:rPr>
          <w:sz w:val="24"/>
          <w:szCs w:val="24"/>
        </w:rPr>
        <w:t>Zamawiający</w:t>
      </w:r>
      <w:r w:rsidRPr="0038647F">
        <w:rPr>
          <w:bCs/>
          <w:sz w:val="24"/>
          <w:szCs w:val="24"/>
        </w:rPr>
        <w:t xml:space="preserve">, </w:t>
      </w:r>
      <w:r w:rsidRPr="0038647F">
        <w:rPr>
          <w:sz w:val="24"/>
          <w:szCs w:val="24"/>
        </w:rPr>
        <w:t xml:space="preserve">zamieszcza na stronie internetowej w zakładce „Zamówienia publiczne”: </w:t>
      </w:r>
      <w:hyperlink r:id="rId7" w:history="1">
        <w:r w:rsidRPr="0038647F">
          <w:rPr>
            <w:rStyle w:val="Hipercze"/>
            <w:sz w:val="24"/>
            <w:szCs w:val="24"/>
          </w:rPr>
          <w:t>http://bn.org.pl/bip/zamowienia-publiczne</w:t>
        </w:r>
      </w:hyperlink>
      <w:r w:rsidRPr="0038647F">
        <w:rPr>
          <w:sz w:val="24"/>
          <w:szCs w:val="24"/>
        </w:rPr>
        <w:t xml:space="preserve">. </w:t>
      </w:r>
    </w:p>
    <w:p w:rsidR="008E3305" w:rsidRDefault="008E3305" w:rsidP="008E3305">
      <w:pPr>
        <w:spacing w:line="360" w:lineRule="auto"/>
        <w:jc w:val="both"/>
        <w:rPr>
          <w:sz w:val="24"/>
          <w:szCs w:val="24"/>
        </w:rPr>
      </w:pPr>
    </w:p>
    <w:p w:rsidR="008E3305" w:rsidRDefault="008E3305" w:rsidP="008E3305">
      <w:pPr>
        <w:jc w:val="both"/>
        <w:rPr>
          <w:sz w:val="24"/>
          <w:szCs w:val="24"/>
        </w:rPr>
      </w:pPr>
      <w:r>
        <w:rPr>
          <w:b/>
          <w:sz w:val="24"/>
          <w:szCs w:val="24"/>
        </w:rPr>
        <w:t>I</w:t>
      </w:r>
      <w:r w:rsidR="006640F6">
        <w:rPr>
          <w:b/>
          <w:sz w:val="24"/>
          <w:szCs w:val="24"/>
        </w:rPr>
        <w:t>V</w:t>
      </w:r>
      <w:r>
        <w:rPr>
          <w:b/>
          <w:sz w:val="24"/>
          <w:szCs w:val="24"/>
        </w:rPr>
        <w:t>.</w:t>
      </w:r>
      <w:r>
        <w:rPr>
          <w:sz w:val="24"/>
          <w:szCs w:val="24"/>
        </w:rPr>
        <w:t xml:space="preserve"> Treść wyjaśnień jest obowiązująca i musi być uwzględniona przez Wykonawców przy sporządzaniu oferty.</w:t>
      </w:r>
    </w:p>
    <w:p w:rsidR="004C001A" w:rsidRPr="003A22D3" w:rsidRDefault="004C001A" w:rsidP="004C001A">
      <w:pPr>
        <w:spacing w:line="276" w:lineRule="auto"/>
        <w:jc w:val="both"/>
        <w:rPr>
          <w:sz w:val="24"/>
          <w:szCs w:val="24"/>
        </w:rPr>
      </w:pPr>
    </w:p>
    <w:sectPr w:rsidR="004C001A" w:rsidRPr="003A2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D2" w:rsidRDefault="009A4FD2" w:rsidP="000C67D9">
      <w:r>
        <w:separator/>
      </w:r>
    </w:p>
  </w:endnote>
  <w:endnote w:type="continuationSeparator" w:id="0">
    <w:p w:rsidR="009A4FD2" w:rsidRDefault="009A4FD2" w:rsidP="000C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856840"/>
      <w:docPartObj>
        <w:docPartGallery w:val="Page Numbers (Bottom of Page)"/>
        <w:docPartUnique/>
      </w:docPartObj>
    </w:sdtPr>
    <w:sdtEndPr>
      <w:rPr>
        <w:sz w:val="22"/>
        <w:szCs w:val="22"/>
      </w:rPr>
    </w:sdtEndPr>
    <w:sdtContent>
      <w:p w:rsidR="000C67D9" w:rsidRPr="000C67D9" w:rsidRDefault="000C67D9">
        <w:pPr>
          <w:pStyle w:val="Stopka"/>
          <w:jc w:val="right"/>
          <w:rPr>
            <w:sz w:val="22"/>
            <w:szCs w:val="22"/>
          </w:rPr>
        </w:pPr>
        <w:r w:rsidRPr="00325126">
          <w:rPr>
            <w:noProof/>
            <w:sz w:val="24"/>
            <w:szCs w:val="24"/>
          </w:rPr>
          <w:drawing>
            <wp:inline distT="0" distB="0" distL="0" distR="0" wp14:anchorId="5780175C" wp14:editId="680D0993">
              <wp:extent cx="5759450" cy="1130686"/>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0686"/>
                      </a:xfrm>
                      <a:prstGeom prst="rect">
                        <a:avLst/>
                      </a:prstGeom>
                      <a:noFill/>
                      <a:ln>
                        <a:noFill/>
                      </a:ln>
                    </pic:spPr>
                  </pic:pic>
                </a:graphicData>
              </a:graphic>
            </wp:inline>
          </w:drawing>
        </w:r>
        <w:r w:rsidRPr="000C67D9">
          <w:rPr>
            <w:sz w:val="22"/>
            <w:szCs w:val="22"/>
          </w:rPr>
          <w:fldChar w:fldCharType="begin"/>
        </w:r>
        <w:r w:rsidRPr="000C67D9">
          <w:rPr>
            <w:sz w:val="22"/>
            <w:szCs w:val="22"/>
          </w:rPr>
          <w:instrText>PAGE   \* MERGEFORMAT</w:instrText>
        </w:r>
        <w:r w:rsidRPr="000C67D9">
          <w:rPr>
            <w:sz w:val="22"/>
            <w:szCs w:val="22"/>
          </w:rPr>
          <w:fldChar w:fldCharType="separate"/>
        </w:r>
        <w:r w:rsidRPr="000C67D9">
          <w:rPr>
            <w:sz w:val="22"/>
            <w:szCs w:val="22"/>
          </w:rPr>
          <w:t>2</w:t>
        </w:r>
        <w:r w:rsidRPr="000C67D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D2" w:rsidRDefault="009A4FD2" w:rsidP="000C67D9">
      <w:r>
        <w:separator/>
      </w:r>
    </w:p>
  </w:footnote>
  <w:footnote w:type="continuationSeparator" w:id="0">
    <w:p w:rsidR="009A4FD2" w:rsidRDefault="009A4FD2" w:rsidP="000C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739"/>
    <w:multiLevelType w:val="hybridMultilevel"/>
    <w:tmpl w:val="13341B4C"/>
    <w:lvl w:ilvl="0" w:tplc="0415000F">
      <w:start w:val="1"/>
      <w:numFmt w:val="decimal"/>
      <w:lvlText w:val="%1."/>
      <w:lvlJc w:val="left"/>
      <w:pPr>
        <w:ind w:left="4472" w:hanging="360"/>
      </w:pPr>
      <w:rPr>
        <w:rFonts w:hint="default"/>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 w15:restartNumberingAfterBreak="0">
    <w:nsid w:val="093864E5"/>
    <w:multiLevelType w:val="hybridMultilevel"/>
    <w:tmpl w:val="D778A13E"/>
    <w:lvl w:ilvl="0" w:tplc="5ABE94A8">
      <w:start w:val="5"/>
      <w:numFmt w:val="upperRoman"/>
      <w:lvlText w:val="%1."/>
      <w:lvlJc w:val="left"/>
      <w:pPr>
        <w:ind w:left="3839" w:hanging="720"/>
      </w:pPr>
      <w:rPr>
        <w:rFonts w:hint="default"/>
        <w:b/>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2" w15:restartNumberingAfterBreak="0">
    <w:nsid w:val="0C177CA5"/>
    <w:multiLevelType w:val="hybridMultilevel"/>
    <w:tmpl w:val="5B7AF25A"/>
    <w:lvl w:ilvl="0" w:tplc="FC84EFC8">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50764"/>
    <w:multiLevelType w:val="hybridMultilevel"/>
    <w:tmpl w:val="52B8E7DA"/>
    <w:lvl w:ilvl="0" w:tplc="2966A9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2E3227"/>
    <w:multiLevelType w:val="hybridMultilevel"/>
    <w:tmpl w:val="76D89F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8040DDB"/>
    <w:multiLevelType w:val="hybridMultilevel"/>
    <w:tmpl w:val="D6146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D06A05"/>
    <w:multiLevelType w:val="hybridMultilevel"/>
    <w:tmpl w:val="B4E89BD4"/>
    <w:lvl w:ilvl="0" w:tplc="8B8624F2">
      <w:start w:val="1"/>
      <w:numFmt w:val="upperRoman"/>
      <w:lvlText w:val="%1."/>
      <w:lvlJc w:val="left"/>
      <w:pPr>
        <w:ind w:left="720" w:hanging="36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2D3B7B"/>
    <w:multiLevelType w:val="hybridMultilevel"/>
    <w:tmpl w:val="1EB2F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D4575"/>
    <w:multiLevelType w:val="hybridMultilevel"/>
    <w:tmpl w:val="2E468DD4"/>
    <w:lvl w:ilvl="0" w:tplc="96F48AF4">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F7EFC"/>
    <w:multiLevelType w:val="hybridMultilevel"/>
    <w:tmpl w:val="BDF2A2EE"/>
    <w:lvl w:ilvl="0" w:tplc="04150011">
      <w:start w:val="1"/>
      <w:numFmt w:val="decimal"/>
      <w:lvlText w:val="%1)"/>
      <w:lvlJc w:val="left"/>
      <w:pPr>
        <w:ind w:left="786"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CD94AAE"/>
    <w:multiLevelType w:val="hybridMultilevel"/>
    <w:tmpl w:val="1E5E7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5D0482"/>
    <w:multiLevelType w:val="hybridMultilevel"/>
    <w:tmpl w:val="23BC39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38CD3EDC"/>
    <w:multiLevelType w:val="hybridMultilevel"/>
    <w:tmpl w:val="7320176E"/>
    <w:lvl w:ilvl="0" w:tplc="D0DE86C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016551"/>
    <w:multiLevelType w:val="hybridMultilevel"/>
    <w:tmpl w:val="3BC0B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D39C5"/>
    <w:multiLevelType w:val="hybridMultilevel"/>
    <w:tmpl w:val="FB36D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4715E4"/>
    <w:multiLevelType w:val="hybridMultilevel"/>
    <w:tmpl w:val="E0141C8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FED6C60"/>
    <w:multiLevelType w:val="hybridMultilevel"/>
    <w:tmpl w:val="B20C1354"/>
    <w:lvl w:ilvl="0" w:tplc="E8E4378C">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1A0AAF"/>
    <w:multiLevelType w:val="hybridMultilevel"/>
    <w:tmpl w:val="5914B5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2B6246"/>
    <w:multiLevelType w:val="hybridMultilevel"/>
    <w:tmpl w:val="9DAE9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314C52"/>
    <w:multiLevelType w:val="hybridMultilevel"/>
    <w:tmpl w:val="E048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9F0D4A"/>
    <w:multiLevelType w:val="hybridMultilevel"/>
    <w:tmpl w:val="90BC0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F91B0E"/>
    <w:multiLevelType w:val="hybridMultilevel"/>
    <w:tmpl w:val="A7A02FCE"/>
    <w:lvl w:ilvl="0" w:tplc="D2940EEA">
      <w:start w:val="1"/>
      <w:numFmt w:val="upperRoman"/>
      <w:lvlText w:val="%1."/>
      <w:lvlJc w:val="left"/>
      <w:pPr>
        <w:ind w:left="1080" w:hanging="720"/>
      </w:pPr>
      <w:rPr>
        <w:rFonts w:hint="default"/>
        <w:b/>
      </w:rPr>
    </w:lvl>
    <w:lvl w:ilvl="1" w:tplc="71EA76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85720D"/>
    <w:multiLevelType w:val="hybridMultilevel"/>
    <w:tmpl w:val="6F626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7B4C05"/>
    <w:multiLevelType w:val="hybridMultilevel"/>
    <w:tmpl w:val="63E48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AF2102"/>
    <w:multiLevelType w:val="hybridMultilevel"/>
    <w:tmpl w:val="3BC0B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FF3452"/>
    <w:multiLevelType w:val="hybridMultilevel"/>
    <w:tmpl w:val="EEFE1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142FE2"/>
    <w:multiLevelType w:val="hybridMultilevel"/>
    <w:tmpl w:val="BDF2A2EE"/>
    <w:lvl w:ilvl="0" w:tplc="04150011">
      <w:start w:val="1"/>
      <w:numFmt w:val="decimal"/>
      <w:lvlText w:val="%1)"/>
      <w:lvlJc w:val="left"/>
      <w:pPr>
        <w:ind w:left="786"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DCB2B5F"/>
    <w:multiLevelType w:val="hybridMultilevel"/>
    <w:tmpl w:val="0A34B9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2"/>
  </w:num>
  <w:num w:numId="12">
    <w:abstractNumId w:val="14"/>
  </w:num>
  <w:num w:numId="13">
    <w:abstractNumId w:val="12"/>
  </w:num>
  <w:num w:numId="14">
    <w:abstractNumId w:val="27"/>
  </w:num>
  <w:num w:numId="15">
    <w:abstractNumId w:val="21"/>
  </w:num>
  <w:num w:numId="16">
    <w:abstractNumId w:val="13"/>
  </w:num>
  <w:num w:numId="17">
    <w:abstractNumId w:val="23"/>
  </w:num>
  <w:num w:numId="18">
    <w:abstractNumId w:val="19"/>
  </w:num>
  <w:num w:numId="19">
    <w:abstractNumId w:val="24"/>
  </w:num>
  <w:num w:numId="20">
    <w:abstractNumId w:val="20"/>
  </w:num>
  <w:num w:numId="21">
    <w:abstractNumId w:val="8"/>
  </w:num>
  <w:num w:numId="22">
    <w:abstractNumId w:val="7"/>
  </w:num>
  <w:num w:numId="23">
    <w:abstractNumId w:val="4"/>
  </w:num>
  <w:num w:numId="24">
    <w:abstractNumId w:val="11"/>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10"/>
    <w:rsid w:val="00001C4A"/>
    <w:rsid w:val="000A3DC3"/>
    <w:rsid w:val="000C67D9"/>
    <w:rsid w:val="001077D5"/>
    <w:rsid w:val="00134436"/>
    <w:rsid w:val="00191726"/>
    <w:rsid w:val="00227B33"/>
    <w:rsid w:val="00246C29"/>
    <w:rsid w:val="002A29DD"/>
    <w:rsid w:val="002E0679"/>
    <w:rsid w:val="0038647F"/>
    <w:rsid w:val="003A1D1E"/>
    <w:rsid w:val="003A22D3"/>
    <w:rsid w:val="00400DAB"/>
    <w:rsid w:val="004C001A"/>
    <w:rsid w:val="004C15F5"/>
    <w:rsid w:val="004D0204"/>
    <w:rsid w:val="004F411A"/>
    <w:rsid w:val="0052760F"/>
    <w:rsid w:val="00532129"/>
    <w:rsid w:val="005B469A"/>
    <w:rsid w:val="005D0E2B"/>
    <w:rsid w:val="005E4D44"/>
    <w:rsid w:val="00647D27"/>
    <w:rsid w:val="006640F6"/>
    <w:rsid w:val="006C19C2"/>
    <w:rsid w:val="006C6310"/>
    <w:rsid w:val="006C664C"/>
    <w:rsid w:val="006D1756"/>
    <w:rsid w:val="006E1860"/>
    <w:rsid w:val="006E248B"/>
    <w:rsid w:val="006E308A"/>
    <w:rsid w:val="006F3067"/>
    <w:rsid w:val="00722CB8"/>
    <w:rsid w:val="00750A03"/>
    <w:rsid w:val="00753768"/>
    <w:rsid w:val="007A4269"/>
    <w:rsid w:val="00805928"/>
    <w:rsid w:val="00834EBD"/>
    <w:rsid w:val="00873D9F"/>
    <w:rsid w:val="008962DD"/>
    <w:rsid w:val="008A61B9"/>
    <w:rsid w:val="008B4CE9"/>
    <w:rsid w:val="008E3305"/>
    <w:rsid w:val="00902ABE"/>
    <w:rsid w:val="009A4FD2"/>
    <w:rsid w:val="009E5284"/>
    <w:rsid w:val="00A06B8D"/>
    <w:rsid w:val="00AF1A7D"/>
    <w:rsid w:val="00B018C7"/>
    <w:rsid w:val="00B40372"/>
    <w:rsid w:val="00B55A1F"/>
    <w:rsid w:val="00B7617E"/>
    <w:rsid w:val="00B95FA0"/>
    <w:rsid w:val="00B97204"/>
    <w:rsid w:val="00BE3DBC"/>
    <w:rsid w:val="00BF6160"/>
    <w:rsid w:val="00C556BB"/>
    <w:rsid w:val="00C82F44"/>
    <w:rsid w:val="00CA0801"/>
    <w:rsid w:val="00CC6AB4"/>
    <w:rsid w:val="00D214DB"/>
    <w:rsid w:val="00DB02A2"/>
    <w:rsid w:val="00DF40AC"/>
    <w:rsid w:val="00E4079E"/>
    <w:rsid w:val="00E83787"/>
    <w:rsid w:val="00EC7FFC"/>
    <w:rsid w:val="00EE60BE"/>
    <w:rsid w:val="00F355C3"/>
    <w:rsid w:val="00F4687A"/>
    <w:rsid w:val="00F5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81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631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A2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C63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6310"/>
    <w:pPr>
      <w:tabs>
        <w:tab w:val="center" w:pos="4536"/>
        <w:tab w:val="right" w:pos="9072"/>
      </w:tabs>
    </w:pPr>
  </w:style>
  <w:style w:type="character" w:customStyle="1" w:styleId="NagwekZnak">
    <w:name w:val="Nagłówek Znak"/>
    <w:basedOn w:val="Domylnaczcionkaakapitu"/>
    <w:link w:val="Nagwek"/>
    <w:uiPriority w:val="99"/>
    <w:rsid w:val="006C6310"/>
    <w:rPr>
      <w:rFonts w:ascii="Times New Roman" w:eastAsia="Times New Roman" w:hAnsi="Times New Roman" w:cs="Times New Roman"/>
      <w:sz w:val="20"/>
      <w:szCs w:val="20"/>
      <w:lang w:eastAsia="pl-PL"/>
    </w:rPr>
  </w:style>
  <w:style w:type="character" w:customStyle="1" w:styleId="AkapitzlistZnak">
    <w:name w:val="Akapit z listą Znak"/>
    <w:aliases w:val="Preambuła Znak,Numerowanie Znak,Akapit z listą BS Znak,lp1 Znak,List Paragraph Znak,Podsis rysunku Znak,L1 Znak,Akapit z listą5 Znak"/>
    <w:link w:val="Akapitzlist"/>
    <w:uiPriority w:val="34"/>
    <w:qFormat/>
    <w:locked/>
    <w:rsid w:val="006C6310"/>
    <w:rPr>
      <w:rFonts w:ascii="Times New Roman" w:eastAsia="Times New Roman" w:hAnsi="Times New Roman" w:cs="Times New Roman"/>
    </w:rPr>
  </w:style>
  <w:style w:type="paragraph" w:styleId="Akapitzlist">
    <w:name w:val="List Paragraph"/>
    <w:aliases w:val="Preambuła,Numerowanie,Akapit z listą BS,lp1,List Paragraph,Podsis rysunku,L1,Akapit z listą5"/>
    <w:basedOn w:val="Normalny"/>
    <w:link w:val="AkapitzlistZnak"/>
    <w:uiPriority w:val="34"/>
    <w:qFormat/>
    <w:rsid w:val="006C6310"/>
    <w:pPr>
      <w:ind w:left="720"/>
      <w:contextualSpacing/>
    </w:pPr>
    <w:rPr>
      <w:sz w:val="22"/>
      <w:szCs w:val="22"/>
      <w:lang w:eastAsia="en-US"/>
    </w:rPr>
  </w:style>
  <w:style w:type="paragraph" w:styleId="Tekstpodstawowy">
    <w:name w:val="Body Text"/>
    <w:basedOn w:val="Normalny"/>
    <w:link w:val="TekstpodstawowyZnak"/>
    <w:uiPriority w:val="99"/>
    <w:unhideWhenUsed/>
    <w:rsid w:val="006C6310"/>
    <w:pPr>
      <w:spacing w:after="120" w:line="254" w:lineRule="auto"/>
    </w:pPr>
    <w:rPr>
      <w:rFonts w:ascii="Calibri" w:eastAsia="Calibri" w:hAnsi="Calibri"/>
      <w:sz w:val="22"/>
      <w:szCs w:val="22"/>
      <w:lang w:val="x-none" w:eastAsia="en-US"/>
    </w:rPr>
  </w:style>
  <w:style w:type="character" w:customStyle="1" w:styleId="TekstpodstawowyZnak">
    <w:name w:val="Tekst podstawowy Znak"/>
    <w:basedOn w:val="Domylnaczcionkaakapitu"/>
    <w:link w:val="Tekstpodstawowy"/>
    <w:uiPriority w:val="99"/>
    <w:rsid w:val="006C6310"/>
    <w:rPr>
      <w:rFonts w:ascii="Calibri" w:eastAsia="Calibri" w:hAnsi="Calibri" w:cs="Times New Roman"/>
      <w:lang w:val="x-none"/>
    </w:rPr>
  </w:style>
  <w:style w:type="character" w:customStyle="1" w:styleId="Nagwek2Znak">
    <w:name w:val="Nagłówek 2 Znak"/>
    <w:basedOn w:val="Domylnaczcionkaakapitu"/>
    <w:link w:val="Nagwek2"/>
    <w:uiPriority w:val="9"/>
    <w:semiHidden/>
    <w:rsid w:val="006C6310"/>
    <w:rPr>
      <w:rFonts w:asciiTheme="majorHAnsi" w:eastAsiaTheme="majorEastAsia" w:hAnsiTheme="majorHAnsi" w:cstheme="majorBidi"/>
      <w:color w:val="2E74B5" w:themeColor="accent1" w:themeShade="BF"/>
      <w:sz w:val="26"/>
      <w:szCs w:val="26"/>
      <w:lang w:eastAsia="pl-PL"/>
    </w:rPr>
  </w:style>
  <w:style w:type="character" w:styleId="Hipercze">
    <w:name w:val="Hyperlink"/>
    <w:uiPriority w:val="99"/>
    <w:unhideWhenUsed/>
    <w:rsid w:val="006C6310"/>
    <w:rPr>
      <w:color w:val="0563C1"/>
      <w:u w:val="single"/>
    </w:rPr>
  </w:style>
  <w:style w:type="paragraph" w:customStyle="1" w:styleId="Default">
    <w:name w:val="Default"/>
    <w:rsid w:val="006C6310"/>
    <w:pPr>
      <w:autoSpaceDE w:val="0"/>
      <w:autoSpaceDN w:val="0"/>
      <w:adjustRightInd w:val="0"/>
      <w:spacing w:after="0" w:line="240" w:lineRule="auto"/>
    </w:pPr>
    <w:rPr>
      <w:rFonts w:ascii="Liberation Sans" w:hAnsi="Liberation Sans" w:cs="Liberation Sans"/>
      <w:color w:val="000000"/>
      <w:sz w:val="24"/>
      <w:szCs w:val="24"/>
    </w:rPr>
  </w:style>
  <w:style w:type="paragraph" w:styleId="NormalnyWeb">
    <w:name w:val="Normal (Web)"/>
    <w:basedOn w:val="Normalny"/>
    <w:uiPriority w:val="99"/>
    <w:unhideWhenUsed/>
    <w:rsid w:val="006C6310"/>
    <w:pPr>
      <w:spacing w:before="100" w:beforeAutospacing="1" w:after="100" w:afterAutospacing="1"/>
    </w:pPr>
    <w:rPr>
      <w:rFonts w:eastAsia="Calibri"/>
      <w:sz w:val="24"/>
      <w:szCs w:val="24"/>
    </w:rPr>
  </w:style>
  <w:style w:type="paragraph" w:styleId="HTML-adres">
    <w:name w:val="HTML Address"/>
    <w:basedOn w:val="Normalny"/>
    <w:link w:val="HTML-adresZnak"/>
    <w:uiPriority w:val="99"/>
    <w:semiHidden/>
    <w:unhideWhenUsed/>
    <w:rsid w:val="006C6310"/>
    <w:rPr>
      <w:i/>
      <w:iCs/>
      <w:sz w:val="24"/>
      <w:szCs w:val="24"/>
    </w:rPr>
  </w:style>
  <w:style w:type="character" w:customStyle="1" w:styleId="HTML-adresZnak">
    <w:name w:val="HTML - adres Znak"/>
    <w:basedOn w:val="Domylnaczcionkaakapitu"/>
    <w:link w:val="HTML-adres"/>
    <w:uiPriority w:val="99"/>
    <w:semiHidden/>
    <w:rsid w:val="006C6310"/>
    <w:rPr>
      <w:rFonts w:ascii="Times New Roman" w:eastAsia="Times New Roman" w:hAnsi="Times New Roman" w:cs="Times New Roman"/>
      <w:i/>
      <w:iCs/>
      <w:sz w:val="24"/>
      <w:szCs w:val="24"/>
      <w:lang w:eastAsia="pl-PL"/>
    </w:rPr>
  </w:style>
  <w:style w:type="character" w:styleId="Pogrubienie">
    <w:name w:val="Strong"/>
    <w:uiPriority w:val="22"/>
    <w:qFormat/>
    <w:rsid w:val="006C6310"/>
    <w:rPr>
      <w:b/>
      <w:bCs/>
    </w:rPr>
  </w:style>
  <w:style w:type="paragraph" w:styleId="Bezodstpw">
    <w:name w:val="No Spacing"/>
    <w:uiPriority w:val="1"/>
    <w:qFormat/>
    <w:rsid w:val="004C15F5"/>
    <w:pPr>
      <w:spacing w:after="0" w:line="240" w:lineRule="auto"/>
    </w:pPr>
    <w:rPr>
      <w:rFonts w:ascii="Times New Roman" w:eastAsia="Arial Unicode MS" w:hAnsi="Arial Unicode MS" w:cs="Arial Unicode MS"/>
      <w:color w:val="000000"/>
      <w:u w:color="000000"/>
      <w:lang w:eastAsia="pl-PL"/>
    </w:rPr>
  </w:style>
  <w:style w:type="paragraph" w:styleId="Tekstdymka">
    <w:name w:val="Balloon Text"/>
    <w:basedOn w:val="Normalny"/>
    <w:link w:val="TekstdymkaZnak"/>
    <w:uiPriority w:val="99"/>
    <w:semiHidden/>
    <w:unhideWhenUsed/>
    <w:rsid w:val="006F30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067"/>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C67D9"/>
    <w:pPr>
      <w:tabs>
        <w:tab w:val="center" w:pos="4536"/>
        <w:tab w:val="right" w:pos="9072"/>
      </w:tabs>
    </w:pPr>
  </w:style>
  <w:style w:type="character" w:customStyle="1" w:styleId="StopkaZnak">
    <w:name w:val="Stopka Znak"/>
    <w:basedOn w:val="Domylnaczcionkaakapitu"/>
    <w:link w:val="Stopka"/>
    <w:uiPriority w:val="99"/>
    <w:rsid w:val="000C67D9"/>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3A22D3"/>
    <w:rPr>
      <w:rFonts w:asciiTheme="majorHAnsi" w:eastAsiaTheme="majorEastAsia" w:hAnsiTheme="majorHAnsi" w:cstheme="majorBidi"/>
      <w:color w:val="2E74B5" w:themeColor="accent1" w:themeShade="BF"/>
      <w:sz w:val="32"/>
      <w:szCs w:val="32"/>
      <w:lang w:eastAsia="pl-PL"/>
    </w:rPr>
  </w:style>
  <w:style w:type="paragraph" w:styleId="Zwykytekst">
    <w:name w:val="Plain Text"/>
    <w:basedOn w:val="Normalny"/>
    <w:link w:val="ZwykytekstZnak"/>
    <w:uiPriority w:val="99"/>
    <w:semiHidden/>
    <w:unhideWhenUsed/>
    <w:rsid w:val="00722CB8"/>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722CB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9567">
      <w:bodyDiv w:val="1"/>
      <w:marLeft w:val="0"/>
      <w:marRight w:val="0"/>
      <w:marTop w:val="0"/>
      <w:marBottom w:val="0"/>
      <w:divBdr>
        <w:top w:val="none" w:sz="0" w:space="0" w:color="auto"/>
        <w:left w:val="none" w:sz="0" w:space="0" w:color="auto"/>
        <w:bottom w:val="none" w:sz="0" w:space="0" w:color="auto"/>
        <w:right w:val="none" w:sz="0" w:space="0" w:color="auto"/>
      </w:divBdr>
    </w:div>
    <w:div w:id="344747839">
      <w:bodyDiv w:val="1"/>
      <w:marLeft w:val="0"/>
      <w:marRight w:val="0"/>
      <w:marTop w:val="0"/>
      <w:marBottom w:val="0"/>
      <w:divBdr>
        <w:top w:val="none" w:sz="0" w:space="0" w:color="auto"/>
        <w:left w:val="none" w:sz="0" w:space="0" w:color="auto"/>
        <w:bottom w:val="none" w:sz="0" w:space="0" w:color="auto"/>
        <w:right w:val="none" w:sz="0" w:space="0" w:color="auto"/>
      </w:divBdr>
    </w:div>
    <w:div w:id="465247167">
      <w:bodyDiv w:val="1"/>
      <w:marLeft w:val="0"/>
      <w:marRight w:val="0"/>
      <w:marTop w:val="0"/>
      <w:marBottom w:val="0"/>
      <w:divBdr>
        <w:top w:val="none" w:sz="0" w:space="0" w:color="auto"/>
        <w:left w:val="none" w:sz="0" w:space="0" w:color="auto"/>
        <w:bottom w:val="none" w:sz="0" w:space="0" w:color="auto"/>
        <w:right w:val="none" w:sz="0" w:space="0" w:color="auto"/>
      </w:divBdr>
    </w:div>
    <w:div w:id="1283993753">
      <w:bodyDiv w:val="1"/>
      <w:marLeft w:val="0"/>
      <w:marRight w:val="0"/>
      <w:marTop w:val="0"/>
      <w:marBottom w:val="0"/>
      <w:divBdr>
        <w:top w:val="none" w:sz="0" w:space="0" w:color="auto"/>
        <w:left w:val="none" w:sz="0" w:space="0" w:color="auto"/>
        <w:bottom w:val="none" w:sz="0" w:space="0" w:color="auto"/>
        <w:right w:val="none" w:sz="0" w:space="0" w:color="auto"/>
      </w:divBdr>
    </w:div>
    <w:div w:id="1766729014">
      <w:bodyDiv w:val="1"/>
      <w:marLeft w:val="0"/>
      <w:marRight w:val="0"/>
      <w:marTop w:val="0"/>
      <w:marBottom w:val="0"/>
      <w:divBdr>
        <w:top w:val="none" w:sz="0" w:space="0" w:color="auto"/>
        <w:left w:val="none" w:sz="0" w:space="0" w:color="auto"/>
        <w:bottom w:val="none" w:sz="0" w:space="0" w:color="auto"/>
        <w:right w:val="none" w:sz="0" w:space="0" w:color="auto"/>
      </w:divBdr>
    </w:div>
    <w:div w:id="1784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n.org.pl/bip/zamowienia-publi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3030</Words>
  <Characters>18182</Characters>
  <Application>Microsoft Office Word</Application>
  <DocSecurity>0</DocSecurity>
  <Lines>151</Lines>
  <Paragraphs>42</Paragraphs>
  <ScaleCrop>false</ScaleCrop>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2019-05-13T13:37:00Z</dcterms:created>
  <dcterms:modified xsi:type="dcterms:W3CDTF">2019-05-13T13:37:00Z</dcterms:modified>
</cp:coreProperties>
</file>