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a1"/>
          <w:rFonts w:ascii="Lucida Sans Unicode" w:hAnsi="Lucida Sans Unicode" w:cs="Lucida Sans Unicode"/>
          <w:color w:val="444444"/>
          <w:sz w:val="20"/>
          <w:szCs w:val="20"/>
        </w:rPr>
        <w:t>19/09/2018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S180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- - Usługi - Ogłoszenie o zamówieniu - Procedura otwarta 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Usługi ubezpieczenia prawnego i ubezpieczenia od wszelkiego ryzyka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2018/S 180-408144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Legal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Basis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: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E65E7E" w:rsidRDefault="00E65E7E" w:rsidP="00E65E7E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Anna Trybus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8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9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0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1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następujący adres: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w Krakowie Dział Zamówień Publicznych, paw. C 2, pok.117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Anna Trybus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E65E7E" w:rsidRDefault="00E65E7E" w:rsidP="00E65E7E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Kompleksowe ubezpieczenie majątku AGH oraz ACK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Cyfronet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AGH od wszelkich zdarzeń losowych, ubezpieczenie sprzętu elektronicznego, odpowiedzialności cywilnej,</w:t>
      </w:r>
      <w:r w:rsidR="00907A25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mienia w transporcie krajowym oraz kosztów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KC-zp.272-460/18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66513000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Kompleksowe ubezpieczenie majątku AGH oraz ACK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Cyfronet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AGH od wszelkich zdarzeń losowych, ubezpieczenie sprzętu elektronicznego, odpowiedzialności cywilnej, mienia w transporcie krajowym oraz kosztów leczenia w zagranicznych podróżach służbowych - KC-zp.272-460/18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Zadanie częściowe nr: 1 - ubezpieczenie mienia od wszelkich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losowych i ubezpieczenie sprzętu elektronicznego od wszystkich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nr: 2 - ubezpieczenie odpowiedzialności cywilnej z tytułu prowadzenia działalności oraz posiadania mienia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nr: 3 - ubezpieczenie mienia w transporcie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Zadanie częściowe nr: 4 - ubezpieczenia Kosztów Leczenia</w:t>
      </w:r>
    </w:p>
    <w:bookmarkEnd w:id="0"/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Ubezpieczenie mienia od wszelkich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losowych i ubezpieczenie sprzętu elektronicznego od wszystkich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66513000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Ubezpieczenie mienia od wszystkich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Ubezpieczenie sprzętu elektronicznego od wszystkich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(koszt) oferty - 60 %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 zakres pokrycia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fakultatywnych-40 %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Termin wykonania zamówienia - 36 miesięcy. Przewidywany termin rozpoczęcia realizacji zamówienia - od 1.12.2018.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Ubezpieczenie odpowiedzialności cywilnej z tytułu prowadzenia działalności oraz posiadania mienia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66516000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Ubezpieczenie odpowiedzialności cywilnej z tytułu prowadzenia działalności oraz posiadania mienia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(koszt) oferty - 60 %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 zakres pokrycia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fakultatywnych - 40 %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Termin wykonania zamówienia - 36 miesięcy. Przewidywany termin rozpoczęcia realizacji zamówienia - od 1.12.2018.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Ubezpieczenie mienia w transporcie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3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66514000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— ubezpieczenie mienia w transporcie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(koszt) oferty - 60 %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 zakres pokrycia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fakultatywnych - 40 %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Termin wykonania zamówienia - 36 miesięcy. Przewidywany termin rozpoczęcia realizacji zamówienia - od 1.12.2018.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Ubezpieczenie kosztów leczenia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4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66512210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Ubezpieczenie kosztów leczenia podczas zagranicznych podróży służbowych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będzie oceniał oferty według następujących kryteriów: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Cena (koszt) oferty - 60 %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2 zakres pokrycia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ryzyk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fakultatywnych - 40 %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Termin wykonania zamówienia - 36 miesięcy. Przewidywany termin rozpoczęcia realizacji zamówienia - od 1.12.2018.</w:t>
      </w:r>
    </w:p>
    <w:p w:rsidR="00E65E7E" w:rsidRDefault="00E65E7E" w:rsidP="00E65E7E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Wykonawca winien wykazać, że posiada aktualne zezwolenie na prowadzenie działalności ubezpieczeniowej wydane przez organ nadzoru zgodnie z ustawą z dnia 11.9.2015 r. o działalności ubezpieczeniowej i reasekuracyjnej (Dz.U.2018.999 j.t) lub inny dokument potwierdzający możliwość prowadzenia działalności ubezpieczeniowej na terenie Polski w zakresie nie mniejszym niż wynika to z przedmiotu niniejszego zamówienia.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 O udzielenie zamówienia mogą ubiegać się Wykonawcy, którzy: nie podlegają wykluczeniu na podstawie art. 24 ust. 1 pkt 12-23 oraz art. 24 ust. 5 pkt 1 i 8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A/ Informacja z Krajowego Rejestru Karnego, w zakresie określonym w art. 24 ust. 1 pkt 13, 14 i 21 ustawy, wystawionej nie wcześniej niż przed terminem 6 miesięcy przed upływem terminu składania ofert;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B/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E/ Oświadczenie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F/Oświadczenie wykonawcy o braku orzeczenia wobec niego tytułem środka zapobiegawczego zakazu ubiegania się o zamówienia publiczne;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G/ Oświadczenie wykonawcy o niezaleganiu z opłacaniem podatków i opłat lokalnych, o których mowa w ustawie z dnia 12.1.1991 r. o podatkach i opłatach lokalnych (Dz.U. z 2016 r. poz. 716);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H/ aktualne zezwolenie na prowadzenie działalności ubezpieczeniowej wydane przez organ nadzoru zgodnie z ustawą z dnia 11.9.2015 r. o działalności ubezpieczeniowej i reasekuracyjnej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(Dz.U.2018.999 j.t) lub inny dokument potwierdzający możliwość prowadzenia działalności ubezpieczeniowej na terenie Polski w zakresie nie mniejszym niż wynika to z przedmiotu niniejszego zamówienia.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Wykonawcy zagraniczni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pkt 2 lit. a-d) składa odpowiednio dokumenty wskazane w pkt VI.5.1 SIWZ.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do SIWZ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E65E7E" w:rsidRDefault="00E65E7E" w:rsidP="00E65E7E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25/10/2018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09:30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25/10/2018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10:00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Akademia Górniczo-Hutnicza im. Stanisława Staszica, al. Mickiewicza 30, 30-059 Kraków, paw. C2/C3,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pok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POLSKA.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400.</w:t>
      </w:r>
    </w:p>
    <w:p w:rsidR="00E65E7E" w:rsidRDefault="00E65E7E" w:rsidP="00E65E7E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1/ Oferta musi być zabezpieczona wadium w wysokości: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Zad. nr 1 - 85 000,00 PLN (słownie: osiemdziesiąt pięć tysięcy 00/100 PLN)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Zad. nr 2 - 2 500,00 PLN (słownie: dwa tysiące pięćset 00/100 PLN)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Zad. nr 3 - 500,00 PLN (słownie: pięćset 00/100 PLN)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Zad. nr 4 - 2 000,00 PLN (słownie: dwa tysiące 00/100 PLN)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należy wnieść przed upływem terminu składania ofert.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może być wnoszone w jednej lub kilku następujących formach: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•pieniądzu: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Przelewem na rachunek bankowy Zamawiającego:</w:t>
      </w:r>
    </w:p>
    <w:p w:rsidR="00E65E7E" w:rsidRP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</w:pPr>
      <w:proofErr w:type="spellStart"/>
      <w:r w:rsidRPr="00E65E7E"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  <w:t>Nr</w:t>
      </w:r>
      <w:proofErr w:type="spellEnd"/>
      <w:r w:rsidRPr="00E65E7E"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  <w:t xml:space="preserve"> IBAN: PL 96 1240 4722 1111 0000 4858 2922</w:t>
      </w:r>
    </w:p>
    <w:p w:rsidR="00E65E7E" w:rsidRP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</w:pPr>
      <w:proofErr w:type="spellStart"/>
      <w:r w:rsidRPr="00E65E7E"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  <w:t>Nr</w:t>
      </w:r>
      <w:proofErr w:type="spellEnd"/>
      <w:r w:rsidRPr="00E65E7E">
        <w:rPr>
          <w:rFonts w:ascii="Lucida Sans Unicode" w:hAnsi="Lucida Sans Unicode" w:cs="Lucida Sans Unicode"/>
          <w:color w:val="000000"/>
          <w:sz w:val="20"/>
          <w:szCs w:val="20"/>
          <w:lang w:val="en-US"/>
        </w:rPr>
        <w:t xml:space="preserve"> SWIFT: PKO PP LPW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przypomina, że za skuteczne wniesione wadium uznaje się zaksięgowane kwoty na rachunku bankowym Zamawiającego.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•poręczeniach bankowych, lub poręczeniach Spółdzielczej Kasy Oszczędnościowo-Kredytowej, z tym, że poręczenie kasy jest zawsze poręczeniem pieniężnym;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gwarancjach bankowych;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gwarancjach ubezpieczeniowych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poręczeniach udzielanych przez podmioty, o których mowa w art. 6b ust. 5 pkt 2 ustawy z dnia 9.11.2000 r. o utworzeniu Polskiej Agencji Rozwoju Przedsiębiorczości.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 przypadku wniesienia zabezpieczenia w formie gwarancji, ma ona zawierać zapis o nieodwołalnym, bezwarunkowym spełnieniu świadczenia przez Gwaranta na rzecz Beneficjenta (AGH).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2/ Zamawiający żąda aby Wykonawca złożył wraz z ofertą: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A/ aktualne na dzień składania ofert oświadczenie o nie podleganiu wykluczeniu z postępowania na formularzu Jednolitego Europejskiego Dokumentu Zamówienia zwanym dalej również „JEDZ” lub „jednolitym dokumentem”, którego edytowalny wzór stanowi załącznik nr 2 do SIWZ. Informacje zawarte w oświadczeniu na formularzu jednolitego dokumentu stanowią wstępne potwierdzenie, że wykonawca nie podlega wykluczeniu z postępowania.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 części IV JEDZ: Kryteria kwalifikacji Wykonawca winien wypełnić sekcję a – Ogólne oświadczenie dotyczące wszystkich kryteriów kwalifikacji i nie musi wypełniać żadnej z pozostałych sekcji w części IV.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Oświadczenie na formularzu jednolitego dokumentu sporządzone pod rygorem nieważności w postaci elektronicznej i opatrzone kwalifikowanym podpisem elektronicznym należy złożyć za pośrednictwem platformy zakupowej. Środkiem komunikacji elektronicznej, służącym złożeniu JEDZ przez Wykonawcę, jest platforma on-line pod adresem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http://e-ProPublico.pl/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(dalej jako: Platforma). Korzystanie z platformy jest bezpłatne.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utworzył także plik ESPD (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eJEDZ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), który jest zamieszczony na stronie: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http://www.dzp.agh.edu.pl/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pod ogłoszeniem o przetargu o sygn. KC-zp.272-460/18.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 przypadku wspólnego ubiegania się o zamówienie przez wykonawców, JEDZ sporządzony w postacie elektronicznej i podpisany kwalifikowanym podpisem elektronicznym przez osoby upoważnione do reprezentacji danego wykonawcy, składa każdy z wykonawców wspólnie ubiegających się o zamówienie, przy użyciu środków komunikacji elektronicznej tj. przez wczytanie plików za pośrednictwem Platformy zamieszczonej pod adresem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http://www.e-ProPublico.pl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B/ Formularz Oferty sporządzony i wypełniony według wzoru stanowiącego Załącznik Nr 1 do SIWZ;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C/ OWU poszczególnych linii ubezpieczenia w zadaniach, na które wykonawca składa ofertę;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D/ Upoważnienie-pełnomocnictwo do podpisania oferty, o ile nie wynika ono z innych dokumentów dołączonych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 oferty lub z dokumentów, które Zamawiający może uzyskać za pomocą bezpłatnych i ogólnodostępnych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Baz danych. Pełnomocnictwo składane jest w formie oryginału lub kserokopii poświadczonej za zgodność z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Oryginałem przez notariusza.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3/ W terminie 3 dni od dnia zamieszczenia przez Zamawiającego na stronie internetowej informacji z otwarcia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Wykonawca jest zobowiązany przekazać Zamawiającemu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przysługują środki ochrony prawnej przewidziane w dziale VI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jak dla postępowań powyżej kwoty określonej przepisach wykonawczych wydanych na podstawie art. 11 ust. 8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6. Odwołujący przesyła kopię odwołania zamawiającemu przed upływem terminu do wniesienia odwołania w taki sposób, aby mógł on zapoznać się z jego treścią przed upływem tego terminu.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7. Odwołanie wnosi się w terminie 10 dni od dnia przesłania informacji o czynności zamawiającego stanowiącej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Podstawę jego wniesienia – jeżeli zostały przesłane w sposób określony w art. 180 ust. 5 zdanie drugie albo w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Terminie 15 dni – jeżeli zostały przesłane w inny sposób.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10. W przypadku wniesienia odwołania po upływie terminu składania ofert bieg terminu związania ofertą ulega zawieszeniu do czasu ogłoszenia przez Izbę orzeczenia.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65E7E" w:rsidRDefault="00E65E7E" w:rsidP="00E65E7E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E65E7E" w:rsidRDefault="00E65E7E" w:rsidP="00E65E7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14/09/2018</w:t>
      </w:r>
    </w:p>
    <w:p w:rsidR="001F2F5B" w:rsidRPr="00912A96" w:rsidRDefault="001F2F5B" w:rsidP="001F2F5B"/>
    <w:sectPr w:rsidR="001F2F5B" w:rsidRPr="00912A96" w:rsidSect="001F2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55" w:rsidRDefault="00C40955">
      <w:r>
        <w:separator/>
      </w:r>
    </w:p>
  </w:endnote>
  <w:endnote w:type="continuationSeparator" w:id="0">
    <w:p w:rsidR="00C40955" w:rsidRDefault="00C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907A2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7A2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7A25">
      <w:rPr>
        <w:rStyle w:val="Numerstrony"/>
        <w:rFonts w:ascii="Arial" w:hAnsi="Arial"/>
        <w:noProof/>
        <w:sz w:val="18"/>
        <w:szCs w:val="18"/>
      </w:rPr>
      <w:t>9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4" w:rsidRDefault="00E56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55" w:rsidRDefault="00C40955">
      <w:r>
        <w:separator/>
      </w:r>
    </w:p>
  </w:footnote>
  <w:footnote w:type="continuationSeparator" w:id="0">
    <w:p w:rsidR="00C40955" w:rsidRDefault="00C4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4" w:rsidRDefault="00E56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4" w:rsidRDefault="00E56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F0"/>
    <w:multiLevelType w:val="multilevel"/>
    <w:tmpl w:val="BCE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955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07A25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40955"/>
    <w:rsid w:val="00CA0351"/>
    <w:rsid w:val="00CD2766"/>
    <w:rsid w:val="00D63505"/>
    <w:rsid w:val="00DF2457"/>
    <w:rsid w:val="00E12A04"/>
    <w:rsid w:val="00E56AB4"/>
    <w:rsid w:val="00E65E7E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E65E7E"/>
  </w:style>
  <w:style w:type="character" w:customStyle="1" w:styleId="oj">
    <w:name w:val="oj"/>
    <w:rsid w:val="00E65E7E"/>
  </w:style>
  <w:style w:type="character" w:customStyle="1" w:styleId="heading">
    <w:name w:val="heading"/>
    <w:rsid w:val="00E65E7E"/>
  </w:style>
  <w:style w:type="character" w:styleId="Hipercze">
    <w:name w:val="Hyperlink"/>
    <w:uiPriority w:val="99"/>
    <w:semiHidden/>
    <w:unhideWhenUsed/>
    <w:rsid w:val="00E65E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5E7E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E65E7E"/>
    <w:pPr>
      <w:spacing w:before="100" w:beforeAutospacing="1" w:after="100" w:afterAutospacing="1"/>
    </w:pPr>
  </w:style>
  <w:style w:type="character" w:customStyle="1" w:styleId="nomark">
    <w:name w:val="nomark"/>
    <w:rsid w:val="00E65E7E"/>
  </w:style>
  <w:style w:type="character" w:customStyle="1" w:styleId="timark">
    <w:name w:val="timark"/>
    <w:rsid w:val="00E65E7E"/>
  </w:style>
  <w:style w:type="character" w:customStyle="1" w:styleId="nutscode">
    <w:name w:val="nutscode"/>
    <w:rsid w:val="00E65E7E"/>
  </w:style>
  <w:style w:type="character" w:customStyle="1" w:styleId="cpvcode">
    <w:name w:val="cpvcode"/>
    <w:rsid w:val="00E6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59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5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6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5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4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12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8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11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9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7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8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7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7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7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5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3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7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6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6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7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6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4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5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1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2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8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4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2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5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2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6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3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7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7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6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89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8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1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7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6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9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2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7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6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269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0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6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5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0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7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8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6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6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0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3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0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1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4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2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5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7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0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0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7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8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2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30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5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4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4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9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9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?subject=TED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-propublico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zp.agh.edu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zp.ag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h.edu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h.edu.pl/" TargetMode="External"/><Relationship Id="rId14" Type="http://schemas.openxmlformats.org/officeDocument/2006/relationships/hyperlink" Target="http://e-propublico.pl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9</Pages>
  <Words>2733</Words>
  <Characters>19363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Anna Trybus</dc:creator>
  <cp:keywords/>
  <dc:description/>
  <cp:lastModifiedBy>Anna Trybus</cp:lastModifiedBy>
  <cp:revision>2</cp:revision>
  <cp:lastPrinted>2018-09-19T10:46:00Z</cp:lastPrinted>
  <dcterms:created xsi:type="dcterms:W3CDTF">2018-09-19T10:56:00Z</dcterms:created>
  <dcterms:modified xsi:type="dcterms:W3CDTF">2018-09-19T10:56:00Z</dcterms:modified>
</cp:coreProperties>
</file>