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0C" w:rsidRPr="00CF0654" w:rsidRDefault="00CF0654" w:rsidP="00CF0654">
      <w:pPr>
        <w:ind w:left="9912"/>
        <w:rPr>
          <w:sz w:val="22"/>
          <w:szCs w:val="22"/>
          <w:lang w:eastAsia="ar-SA"/>
        </w:rPr>
      </w:pPr>
      <w:r w:rsidRPr="00CF0654">
        <w:rPr>
          <w:sz w:val="22"/>
          <w:szCs w:val="22"/>
          <w:lang w:eastAsia="ar-SA"/>
        </w:rPr>
        <w:t>F</w:t>
      </w:r>
      <w:r w:rsidR="000F4FD8">
        <w:rPr>
          <w:sz w:val="22"/>
          <w:szCs w:val="22"/>
          <w:lang w:eastAsia="ar-SA"/>
        </w:rPr>
        <w:t>ormularz cenowy – załącznik nr 2</w:t>
      </w:r>
      <w:r w:rsidRPr="00CF0654">
        <w:rPr>
          <w:sz w:val="22"/>
          <w:szCs w:val="22"/>
          <w:lang w:eastAsia="ar-SA"/>
        </w:rPr>
        <w:t xml:space="preserve"> do SIWZ </w:t>
      </w:r>
    </w:p>
    <w:p w:rsidR="00CF0654" w:rsidRPr="00862BD8" w:rsidRDefault="00CF0654" w:rsidP="00CF0654">
      <w:pPr>
        <w:ind w:left="9912"/>
        <w:rPr>
          <w:sz w:val="20"/>
          <w:szCs w:val="20"/>
          <w:lang w:eastAsia="ar-SA"/>
        </w:rPr>
      </w:pPr>
    </w:p>
    <w:p w:rsidR="00B13E0C" w:rsidRPr="00220FAC" w:rsidRDefault="00B13E0C" w:rsidP="00B13E0C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1</w:t>
      </w:r>
      <w:r w:rsidRPr="00220FAC">
        <w:rPr>
          <w:rFonts w:ascii="Arial" w:hAnsi="Arial" w:cs="Arial"/>
          <w:sz w:val="20"/>
          <w:szCs w:val="20"/>
        </w:rPr>
        <w:t xml:space="preserve">: Preparaty do dezynfekcji zewnętrznych elementów cewników dożylnych centralnych i obwodowych, drobnych elementów wyrobów medycznych po skażeniu Clostridium </w:t>
      </w:r>
      <w:proofErr w:type="spellStart"/>
      <w:r w:rsidRPr="00220FAC">
        <w:rPr>
          <w:rFonts w:ascii="Arial" w:hAnsi="Arial" w:cs="Arial"/>
          <w:sz w:val="20"/>
          <w:szCs w:val="20"/>
        </w:rPr>
        <w:t>difficile</w:t>
      </w:r>
      <w:proofErr w:type="spellEnd"/>
    </w:p>
    <w:p w:rsidR="00B13E0C" w:rsidRDefault="00B13E0C" w:rsidP="00B13E0C">
      <w:pPr>
        <w:rPr>
          <w:rFonts w:ascii="Arial" w:hAnsi="Arial" w:cs="Arial"/>
          <w:sz w:val="18"/>
        </w:rPr>
      </w:pPr>
    </w:p>
    <w:tbl>
      <w:tblPr>
        <w:tblW w:w="14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05"/>
        <w:gridCol w:w="1276"/>
        <w:gridCol w:w="1559"/>
        <w:gridCol w:w="992"/>
        <w:gridCol w:w="1134"/>
        <w:gridCol w:w="993"/>
        <w:gridCol w:w="994"/>
        <w:gridCol w:w="1134"/>
        <w:gridCol w:w="1418"/>
      </w:tblGrid>
      <w:tr w:rsidR="00B13E0C" w:rsidTr="00FA05B0">
        <w:trPr>
          <w:cantSplit/>
          <w:trHeight w:val="568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Przeznaczenie środka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Pojemność i rodzaj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podatku VAT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Producent/ Nr katalogowy</w:t>
            </w: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Pr="008802E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802EC">
              <w:rPr>
                <w:rFonts w:ascii="Arial" w:hAnsi="Arial" w:cs="Arial"/>
                <w:sz w:val="18"/>
              </w:rPr>
              <w:t>1</w:t>
            </w:r>
            <w:r w:rsidRPr="008802EC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Default="00B13E0C" w:rsidP="00FA05B0">
            <w:pPr>
              <w:pStyle w:val="NormalnyWeb"/>
              <w:ind w:left="0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0606D4">
              <w:rPr>
                <w:rFonts w:ascii="Arial" w:hAnsi="Arial" w:cs="Arial"/>
                <w:sz w:val="18"/>
                <w:szCs w:val="18"/>
              </w:rPr>
              <w:t xml:space="preserve">Preparat </w:t>
            </w:r>
            <w:r>
              <w:rPr>
                <w:rFonts w:ascii="Arial" w:hAnsi="Arial" w:cs="Arial"/>
                <w:sz w:val="18"/>
                <w:szCs w:val="18"/>
              </w:rPr>
              <w:t xml:space="preserve">w aerosolu, </w:t>
            </w:r>
            <w:r w:rsidRPr="000606D4">
              <w:rPr>
                <w:rFonts w:ascii="Arial" w:hAnsi="Arial" w:cs="Arial"/>
                <w:sz w:val="18"/>
                <w:szCs w:val="18"/>
              </w:rPr>
              <w:t>gotowy do użycia, na bazie alkoholu</w:t>
            </w:r>
            <w:r>
              <w:rPr>
                <w:rFonts w:ascii="Arial" w:hAnsi="Arial" w:cs="Arial"/>
                <w:sz w:val="18"/>
                <w:szCs w:val="18"/>
              </w:rPr>
              <w:t xml:space="preserve"> izopropylowego</w:t>
            </w:r>
            <w:r w:rsidRPr="000606D4">
              <w:rPr>
                <w:rFonts w:ascii="Arial" w:hAnsi="Arial" w:cs="Arial"/>
                <w:sz w:val="18"/>
                <w:szCs w:val="18"/>
              </w:rPr>
              <w:t xml:space="preserve"> z 2% </w:t>
            </w:r>
            <w:proofErr w:type="spellStart"/>
            <w:r w:rsidRPr="000606D4">
              <w:rPr>
                <w:rFonts w:ascii="Arial" w:hAnsi="Arial" w:cs="Arial"/>
                <w:sz w:val="18"/>
                <w:szCs w:val="18"/>
              </w:rPr>
              <w:t>diglukonianem</w:t>
            </w:r>
            <w:proofErr w:type="spellEnd"/>
            <w:r w:rsidRPr="000606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06D4">
              <w:rPr>
                <w:rFonts w:ascii="Arial" w:hAnsi="Arial" w:cs="Arial"/>
                <w:sz w:val="18"/>
                <w:szCs w:val="18"/>
              </w:rPr>
              <w:t>chlorheksydyny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606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przeznaczony </w:t>
            </w:r>
            <w:r w:rsidRPr="000606D4">
              <w:rPr>
                <w:rFonts w:ascii="Arial" w:hAnsi="Arial" w:cs="Arial"/>
                <w:sz w:val="18"/>
                <w:szCs w:val="18"/>
              </w:rPr>
              <w:t>do dezynfekcji zewnętrznych części centralnych i obwodowych c</w:t>
            </w:r>
            <w:r>
              <w:rPr>
                <w:rFonts w:ascii="Arial" w:hAnsi="Arial" w:cs="Arial"/>
                <w:sz w:val="18"/>
                <w:szCs w:val="18"/>
              </w:rPr>
              <w:t xml:space="preserve">ewników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donaczyniowych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żylnych i tętniczych</w:t>
            </w:r>
            <w:r w:rsidRPr="000606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innych drobnych powierzchni wyrobów medycznych związanych z linią naczyniową, np. koreczki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wenflonów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kraniki. C</w:t>
            </w:r>
            <w:r w:rsidRPr="000606D4">
              <w:rPr>
                <w:rFonts w:ascii="Arial" w:hAnsi="Arial" w:cs="Arial"/>
                <w:sz w:val="18"/>
                <w:szCs w:val="18"/>
              </w:rPr>
              <w:t xml:space="preserve">zas </w:t>
            </w:r>
            <w:r>
              <w:rPr>
                <w:rFonts w:ascii="Arial" w:hAnsi="Arial" w:cs="Arial"/>
                <w:sz w:val="18"/>
                <w:szCs w:val="18"/>
              </w:rPr>
              <w:t xml:space="preserve">skuteczności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biobójczej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6D4">
              <w:rPr>
                <w:rFonts w:ascii="Arial" w:hAnsi="Arial" w:cs="Arial"/>
                <w:sz w:val="18"/>
                <w:szCs w:val="18"/>
              </w:rPr>
              <w:t>od 30 do 60 sekund</w:t>
            </w:r>
            <w:r>
              <w:rPr>
                <w:rFonts w:ascii="Arial" w:hAnsi="Arial" w:cs="Arial"/>
                <w:sz w:val="18"/>
                <w:szCs w:val="18"/>
              </w:rPr>
              <w:t xml:space="preserve">. Preparat wykazujący przedłużone działanie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biobójcze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Wymagana jest przedstawienie potwierdzonej badaniami oceny skuteczności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biobójczej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(bakteriobójczy,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prątkobójczy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grzybobójczy, wirusobójczy). Preparat bezpieczny do użycia w kontakcie ze skórą, miejscem założenia cewnika.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Butelka o pojemności 250 ml ze spryskiwaczem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… 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(cena za litr)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Pr="008802E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802EC">
              <w:rPr>
                <w:rFonts w:ascii="Arial" w:hAnsi="Arial" w:cs="Arial"/>
                <w:bCs/>
                <w:sz w:val="18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Default="00B13E0C" w:rsidP="00FA05B0">
            <w:pPr>
              <w:pStyle w:val="NormalnyWeb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Preparat  o działaniu </w:t>
            </w:r>
            <w:proofErr w:type="spellStart"/>
            <w:r>
              <w:rPr>
                <w:rFonts w:ascii="Arial" w:hAnsi="Arial" w:cs="Arial"/>
                <w:sz w:val="18"/>
              </w:rPr>
              <w:t>sporobójczym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(skuteczny wobec bakterii beztlenowych z rodzaju </w:t>
            </w:r>
            <w:r>
              <w:rPr>
                <w:rFonts w:ascii="Arial" w:hAnsi="Arial" w:cs="Arial"/>
                <w:i/>
                <w:iCs/>
                <w:sz w:val="18"/>
              </w:rPr>
              <w:t>Clostridium</w:t>
            </w:r>
            <w:r>
              <w:rPr>
                <w:rFonts w:ascii="Arial" w:hAnsi="Arial" w:cs="Arial"/>
                <w:sz w:val="18"/>
              </w:rPr>
              <w:t xml:space="preserve">) w stężeniu do 1% w czasie  5 minut. Wskazany długi czas aktywności sporządzonego preparatu roboczego (potrzebne oświadczenie lub informacja w oryginalnej ulotce producenta preparatu). Gwarantowany brak konieczności zmywania preparatu z dezynfekowanej powierzchni. </w:t>
            </w:r>
          </w:p>
          <w:p w:rsidR="00B13E0C" w:rsidRDefault="00B13E0C" w:rsidP="00FA05B0">
            <w:pPr>
              <w:pStyle w:val="NormalnyWeb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Postać – płyn lub proszek rozpuszczalny w zimnej wodzie wodociągowej.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Saszetki lub litry /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Saszetki - doza na 1 lub 5 litrów lub opakowania o pojemności do 5 litrów/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1000 l roztworu roboczego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… 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(cena za litr/kg)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13E0C" w:rsidTr="00FA05B0">
        <w:trPr>
          <w:cantSplit/>
          <w:trHeight w:val="1448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Pr="008802E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802EC">
              <w:rPr>
                <w:rFonts w:ascii="Arial" w:hAnsi="Arial" w:cs="Arial"/>
                <w:bCs/>
                <w:sz w:val="18"/>
              </w:rPr>
              <w:lastRenderedPageBreak/>
              <w:t>3.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Default="00B13E0C" w:rsidP="00FA0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Preparat w żelu na bazie dwutlenku chloru do dezynfekcji małych, wrażliwych na substancje dezynfekcyjne powierzchni wyrobów medycznych w otoczeniu pacjenta. </w:t>
            </w:r>
            <w:r>
              <w:rPr>
                <w:rFonts w:ascii="Arial" w:hAnsi="Arial" w:cs="Arial"/>
                <w:sz w:val="18"/>
              </w:rPr>
              <w:t xml:space="preserve">Minimalne parametry: </w:t>
            </w:r>
            <w:proofErr w:type="spellStart"/>
            <w:r>
              <w:rPr>
                <w:rFonts w:ascii="Arial" w:hAnsi="Arial" w:cs="Arial"/>
                <w:sz w:val="18"/>
              </w:rPr>
              <w:t>bójczy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na bakterie, prątki, grzyby, wirusy</w:t>
            </w:r>
            <w:r>
              <w:rPr>
                <w:rFonts w:ascii="Arial" w:hAnsi="Arial" w:cs="Arial"/>
                <w:sz w:val="18"/>
                <w:szCs w:val="18"/>
              </w:rPr>
              <w:t xml:space="preserve">, spory (skuteczny wobec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Clostridium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difficile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w czasie do 1 min.  Postać – żel gotowy do użycia, łatwy do aplikacji na dezynfekowane powierzchnie.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Opakowanie z atomizerem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Opakowanie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opakowań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… 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(cena za opak.)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13E0C" w:rsidTr="00FA05B0">
        <w:trPr>
          <w:cantSplit/>
          <w:trHeight w:val="139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Opakowania wymienne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Opakowanie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6 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opakowań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… 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(cena za opak.)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13E0C" w:rsidTr="00FA05B0">
        <w:trPr>
          <w:cantSplit/>
          <w:tblHeader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B13E0C" w:rsidRDefault="00B13E0C" w:rsidP="00B13E0C">
      <w:pPr>
        <w:pStyle w:val="Nagwek"/>
        <w:tabs>
          <w:tab w:val="left" w:pos="0"/>
        </w:tabs>
        <w:ind w:hanging="360"/>
        <w:rPr>
          <w:b/>
          <w:bCs/>
          <w:sz w:val="18"/>
          <w:szCs w:val="18"/>
        </w:rPr>
      </w:pPr>
    </w:p>
    <w:p w:rsidR="00B13E0C" w:rsidRPr="00FF140E" w:rsidRDefault="00B13E0C" w:rsidP="00B13E0C">
      <w:pPr>
        <w:pStyle w:val="Nagwek"/>
        <w:tabs>
          <w:tab w:val="left" w:pos="0"/>
        </w:tabs>
        <w:ind w:hanging="360"/>
        <w:rPr>
          <w:b/>
          <w:bCs/>
          <w:sz w:val="18"/>
          <w:szCs w:val="18"/>
        </w:rPr>
      </w:pPr>
      <w:r w:rsidRPr="00FF140E">
        <w:rPr>
          <w:b/>
          <w:bCs/>
          <w:sz w:val="18"/>
          <w:szCs w:val="18"/>
        </w:rPr>
        <w:t>Wymagania:</w:t>
      </w:r>
    </w:p>
    <w:p w:rsidR="00B13E0C" w:rsidRPr="00FF140E" w:rsidRDefault="00B13E0C" w:rsidP="00B13E0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 w:rsidRPr="00FF140E">
        <w:rPr>
          <w:bCs/>
          <w:sz w:val="18"/>
          <w:szCs w:val="18"/>
        </w:rPr>
        <w:t>Zamawiający nie dopuszcza na zaoferowanie produktów, które mogą wykazywać działanie „rak</w:t>
      </w:r>
      <w:r>
        <w:rPr>
          <w:bCs/>
          <w:sz w:val="18"/>
          <w:szCs w:val="18"/>
        </w:rPr>
        <w:t>otwórcze</w:t>
      </w:r>
      <w:r w:rsidRPr="00FF140E">
        <w:rPr>
          <w:bCs/>
          <w:sz w:val="18"/>
          <w:szCs w:val="18"/>
        </w:rPr>
        <w:t>” lub „prawdopodobnie rako</w:t>
      </w:r>
      <w:r>
        <w:rPr>
          <w:bCs/>
          <w:sz w:val="18"/>
          <w:szCs w:val="18"/>
        </w:rPr>
        <w:t>twórcze</w:t>
      </w:r>
      <w:r w:rsidRPr="00FF140E">
        <w:rPr>
          <w:bCs/>
          <w:sz w:val="18"/>
          <w:szCs w:val="18"/>
        </w:rPr>
        <w:t>”, czy że „podejrzewa się, że powoduje raka”.</w:t>
      </w:r>
    </w:p>
    <w:p w:rsidR="00B13E0C" w:rsidRPr="00FF140E" w:rsidRDefault="00B13E0C" w:rsidP="00B13E0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 w:rsidRPr="00FF140E">
        <w:rPr>
          <w:bCs/>
          <w:sz w:val="18"/>
          <w:szCs w:val="18"/>
        </w:rPr>
        <w:t xml:space="preserve">Wymagane jest niezmienne spektrum działania </w:t>
      </w:r>
      <w:r>
        <w:rPr>
          <w:bCs/>
          <w:sz w:val="18"/>
          <w:szCs w:val="18"/>
        </w:rPr>
        <w:t xml:space="preserve">preparatów dezynfekcyjnych </w:t>
      </w:r>
      <w:r w:rsidRPr="00FF140E">
        <w:rPr>
          <w:bCs/>
          <w:sz w:val="18"/>
          <w:szCs w:val="18"/>
        </w:rPr>
        <w:t>przez cały okres ważności preparatu.</w:t>
      </w:r>
    </w:p>
    <w:p w:rsidR="00B13E0C" w:rsidRPr="00FF140E" w:rsidRDefault="00B13E0C" w:rsidP="00B13E0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 w:rsidRPr="00FF140E">
        <w:rPr>
          <w:bCs/>
          <w:sz w:val="18"/>
          <w:szCs w:val="18"/>
        </w:rPr>
        <w:t xml:space="preserve">Dostarczane na bieżąco produkty muszą zachowywać ważność </w:t>
      </w:r>
      <w:r>
        <w:rPr>
          <w:bCs/>
          <w:sz w:val="18"/>
          <w:szCs w:val="18"/>
        </w:rPr>
        <w:t xml:space="preserve">przydatności do użycia </w:t>
      </w:r>
      <w:r w:rsidRPr="00FF140E">
        <w:rPr>
          <w:bCs/>
          <w:sz w:val="18"/>
          <w:szCs w:val="18"/>
        </w:rPr>
        <w:t>przez cały okres trwania umowy oraz 12 miesięcy po jej ustaniu.</w:t>
      </w:r>
    </w:p>
    <w:p w:rsidR="00B13E0C" w:rsidRDefault="00B13E0C" w:rsidP="00B13E0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40E">
        <w:rPr>
          <w:rFonts w:ascii="Arial" w:hAnsi="Arial" w:cs="Arial"/>
          <w:sz w:val="18"/>
          <w:szCs w:val="18"/>
        </w:rPr>
        <w:t>Świadectwa rejestracji posiadają ważność przez cały okres trwania umowy lub muszą być aktualizowane na bieżąco, bez wzywania przez Zamawiającego.</w:t>
      </w:r>
    </w:p>
    <w:p w:rsidR="00B13E0C" w:rsidRPr="00FF140E" w:rsidRDefault="00B13E0C" w:rsidP="00B13E0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przeprowadzi minimum 2 nieodpłatne szkolenia stanowiskowe z zakresu zasad przygotowania do użycia i stosowania dostarczonych produktów, zasad bezpieczeństwa pracy. Szkolenie dla pracowników Zamawiającego powinno się odbyć w okresie 1 miesiąca od pierwszej dostawy</w:t>
      </w:r>
    </w:p>
    <w:p w:rsidR="00B13E0C" w:rsidRPr="00B13E0C" w:rsidRDefault="00B13E0C" w:rsidP="00B13E0C">
      <w:pPr>
        <w:pStyle w:val="Nagwek"/>
        <w:tabs>
          <w:tab w:val="clear" w:pos="4536"/>
          <w:tab w:val="clear" w:pos="9072"/>
          <w:tab w:val="left" w:pos="0"/>
        </w:tabs>
        <w:ind w:left="360"/>
        <w:jc w:val="both"/>
        <w:rPr>
          <w:bCs/>
          <w:sz w:val="18"/>
          <w:szCs w:val="18"/>
        </w:rPr>
      </w:pPr>
    </w:p>
    <w:p w:rsidR="00B13E0C" w:rsidRPr="008B6460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Pr="008B6460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Pr="008B6460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Pr="008B6460" w:rsidRDefault="00B13E0C" w:rsidP="00B13E0C">
      <w:pPr>
        <w:jc w:val="both"/>
        <w:rPr>
          <w:rFonts w:ascii="Arial" w:hAnsi="Arial" w:cs="Arial"/>
          <w:sz w:val="18"/>
          <w:szCs w:val="18"/>
        </w:rPr>
      </w:pPr>
      <w:r w:rsidRPr="008B6460">
        <w:rPr>
          <w:rFonts w:ascii="Arial" w:hAnsi="Arial" w:cs="Arial"/>
          <w:sz w:val="18"/>
          <w:szCs w:val="18"/>
        </w:rPr>
        <w:t>…………………….., dnia …………………………………..</w:t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  <w:t xml:space="preserve">     ………………………………………….</w:t>
      </w: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  <w:r w:rsidRPr="008B646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8B6460">
        <w:rPr>
          <w:rFonts w:ascii="Arial" w:hAnsi="Arial" w:cs="Arial"/>
          <w:sz w:val="18"/>
          <w:szCs w:val="18"/>
        </w:rPr>
        <w:t xml:space="preserve">       /pieczątka i podpis osoby upoważnionej/</w:t>
      </w: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</w:p>
    <w:p w:rsidR="00B13E0C" w:rsidRPr="008B6460" w:rsidRDefault="00B13E0C" w:rsidP="00E3157F">
      <w:pPr>
        <w:rPr>
          <w:rFonts w:ascii="Arial" w:hAnsi="Arial" w:cs="Arial"/>
          <w:sz w:val="18"/>
          <w:szCs w:val="18"/>
        </w:rPr>
      </w:pPr>
    </w:p>
    <w:p w:rsidR="00B13E0C" w:rsidRPr="00B13E0C" w:rsidRDefault="00B13E0C" w:rsidP="00B13E0C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Pakiet nr 2</w:t>
      </w:r>
      <w:r w:rsidRPr="00220FA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Preparaty do ręczneg</w:t>
      </w:r>
      <w:r w:rsidR="004303E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mycia i dezynfekcji sond TEE (echokardiografia przezprzełykowa) </w:t>
      </w:r>
    </w:p>
    <w:p w:rsidR="00B13E0C" w:rsidRDefault="00B13E0C" w:rsidP="00B13E0C">
      <w:pPr>
        <w:rPr>
          <w:rFonts w:ascii="Arial" w:hAnsi="Arial" w:cs="Arial"/>
          <w:sz w:val="18"/>
        </w:rPr>
      </w:pPr>
    </w:p>
    <w:tbl>
      <w:tblPr>
        <w:tblW w:w="14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05"/>
        <w:gridCol w:w="1276"/>
        <w:gridCol w:w="1559"/>
        <w:gridCol w:w="992"/>
        <w:gridCol w:w="1134"/>
        <w:gridCol w:w="993"/>
        <w:gridCol w:w="994"/>
        <w:gridCol w:w="1134"/>
        <w:gridCol w:w="1418"/>
      </w:tblGrid>
      <w:tr w:rsidR="00B13E0C" w:rsidTr="00FA05B0">
        <w:trPr>
          <w:cantSplit/>
          <w:trHeight w:val="568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Przeznaczenie środka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Pojemność i rodzaj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podatku VAT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3E0C" w:rsidRDefault="00B13E0C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Producent/ Nr katalogowy</w:t>
            </w: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Default="00B13E0C" w:rsidP="00FA05B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Pr="008802E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802EC">
              <w:rPr>
                <w:rFonts w:ascii="Arial" w:hAnsi="Arial" w:cs="Arial"/>
                <w:sz w:val="18"/>
              </w:rPr>
              <w:t>1</w:t>
            </w:r>
            <w:r w:rsidRPr="008802EC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Default="00B13E0C" w:rsidP="00FA05B0">
            <w:pPr>
              <w:pStyle w:val="NormalnyWeb"/>
              <w:ind w:left="0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Preparat do ręcznej dezynfekcji endoskopu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Aloka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preparat na bazie aldehydu glut arowego, o działaniu bakteriobójczym,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prątkobójczym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grzybobójczym i wirusobójczym (z potwierdzoną skutecznością wobec wirusa polio). Stężony – czas dezynfekcji max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gdzina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 możliwością poszerzenia spektrum o działanie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sporobójcze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Możliwość stosowania roztworu użytkowego do 14 dni. Do preparatu należy dołączyć paski wskaźnikowe do oceny minimalnego efektywnego stężenia roztworu użytkowego aldehydu glut arowego przed każdorazowym procesem dezynfekcji. Postać – płyn rozpuszczalny w zimnej wodzie wodociągowej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litry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Karnister o pojemności 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… </w:t>
            </w:r>
          </w:p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(cena za litr)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13E0C" w:rsidTr="00FA05B0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Pr="008802E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Pr="00517FC1" w:rsidRDefault="00517FC1" w:rsidP="00FA05B0">
            <w:pPr>
              <w:pStyle w:val="NormalnyWeb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517FC1">
              <w:rPr>
                <w:rFonts w:ascii="Arial" w:hAnsi="Arial" w:cs="Arial"/>
                <w:sz w:val="18"/>
              </w:rPr>
              <w:t>Pięcioenzymatyczny</w:t>
            </w:r>
            <w:proofErr w:type="spellEnd"/>
            <w:r w:rsidRPr="00517FC1">
              <w:rPr>
                <w:rFonts w:ascii="Arial" w:hAnsi="Arial" w:cs="Arial"/>
                <w:sz w:val="18"/>
              </w:rPr>
              <w:t xml:space="preserve"> preparat do manualnego i maszynowego mycia endoskopu, jego oprzyrządowania i innych wyrobów medycznych. Postać płyn rozpuszczalny w zimnej wodzie wodociągowej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litry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Kanister o pojemności 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E0C" w:rsidRDefault="00B13E0C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… </w:t>
            </w:r>
          </w:p>
          <w:p w:rsidR="00B13E0C" w:rsidRDefault="00B13E0C" w:rsidP="00B13E0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(cena za litr)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13E0C" w:rsidTr="00FA05B0">
        <w:trPr>
          <w:cantSplit/>
          <w:tblHeader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B13E0C" w:rsidRDefault="00B13E0C" w:rsidP="00FA05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B13E0C" w:rsidRDefault="00B13E0C" w:rsidP="00B13E0C">
      <w:pPr>
        <w:pStyle w:val="Nagwek"/>
        <w:tabs>
          <w:tab w:val="left" w:pos="0"/>
        </w:tabs>
        <w:ind w:hanging="360"/>
        <w:rPr>
          <w:b/>
          <w:bCs/>
          <w:sz w:val="18"/>
          <w:szCs w:val="18"/>
        </w:rPr>
      </w:pPr>
    </w:p>
    <w:p w:rsidR="00B13E0C" w:rsidRPr="00FF140E" w:rsidRDefault="00B13E0C" w:rsidP="00B13E0C">
      <w:pPr>
        <w:pStyle w:val="Nagwek"/>
        <w:tabs>
          <w:tab w:val="left" w:pos="0"/>
        </w:tabs>
        <w:ind w:hanging="360"/>
        <w:rPr>
          <w:b/>
          <w:bCs/>
          <w:sz w:val="18"/>
          <w:szCs w:val="18"/>
        </w:rPr>
      </w:pPr>
      <w:r w:rsidRPr="00FF140E">
        <w:rPr>
          <w:b/>
          <w:bCs/>
          <w:sz w:val="18"/>
          <w:szCs w:val="18"/>
        </w:rPr>
        <w:t>Wymagania:</w:t>
      </w:r>
    </w:p>
    <w:p w:rsidR="00517FC1" w:rsidRPr="00517FC1" w:rsidRDefault="00517FC1" w:rsidP="00B13E0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Zamawiający wymaga dostarczenia dokumentu (oświadczenia) potwierdzającego brak negatywnego wpływu zaproponowanych preparatów do mycia z dezynfekcją na endoskop ECHO serca przezprzełykowe typu </w:t>
      </w:r>
      <w:proofErr w:type="spellStart"/>
      <w:r>
        <w:rPr>
          <w:bCs/>
          <w:sz w:val="18"/>
          <w:szCs w:val="18"/>
        </w:rPr>
        <w:t>Aloka</w:t>
      </w:r>
      <w:proofErr w:type="spellEnd"/>
    </w:p>
    <w:p w:rsidR="00517FC1" w:rsidRPr="00517FC1" w:rsidRDefault="00517FC1" w:rsidP="00B13E0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Wymagane jest niezmienne spektrum działania </w:t>
      </w:r>
      <w:proofErr w:type="spellStart"/>
      <w:r>
        <w:rPr>
          <w:bCs/>
          <w:sz w:val="18"/>
          <w:szCs w:val="18"/>
        </w:rPr>
        <w:t>biobójczego</w:t>
      </w:r>
      <w:proofErr w:type="spellEnd"/>
      <w:r>
        <w:rPr>
          <w:bCs/>
          <w:sz w:val="18"/>
          <w:szCs w:val="18"/>
        </w:rPr>
        <w:t xml:space="preserve"> przez cały okres ważności preparatu</w:t>
      </w:r>
    </w:p>
    <w:p w:rsidR="00B13E0C" w:rsidRPr="00FF140E" w:rsidRDefault="00B13E0C" w:rsidP="00B13E0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 w:rsidRPr="00FF140E">
        <w:rPr>
          <w:bCs/>
          <w:sz w:val="18"/>
          <w:szCs w:val="18"/>
        </w:rPr>
        <w:t xml:space="preserve">Dostarczane na bieżąco produkty muszą zachowywać ważność przez cały okres trwania umowy </w:t>
      </w:r>
    </w:p>
    <w:p w:rsidR="00B13E0C" w:rsidRDefault="00B13E0C" w:rsidP="00B13E0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40E">
        <w:rPr>
          <w:rFonts w:ascii="Arial" w:hAnsi="Arial" w:cs="Arial"/>
          <w:sz w:val="18"/>
          <w:szCs w:val="18"/>
        </w:rPr>
        <w:t xml:space="preserve">Świadectwa rejestracji posiadają ważność przez cały okres trwania umowy lub muszą być aktualizowane </w:t>
      </w:r>
    </w:p>
    <w:p w:rsidR="00B13E0C" w:rsidRPr="00517FC1" w:rsidRDefault="00B13E0C" w:rsidP="00B13E0C">
      <w:pPr>
        <w:numPr>
          <w:ilvl w:val="0"/>
          <w:numId w:val="2"/>
        </w:numPr>
        <w:tabs>
          <w:tab w:val="left" w:pos="0"/>
        </w:tabs>
        <w:jc w:val="both"/>
        <w:rPr>
          <w:bCs/>
          <w:sz w:val="18"/>
          <w:szCs w:val="18"/>
        </w:rPr>
      </w:pPr>
      <w:r w:rsidRPr="00517FC1">
        <w:rPr>
          <w:rFonts w:ascii="Arial" w:hAnsi="Arial" w:cs="Arial"/>
          <w:sz w:val="18"/>
          <w:szCs w:val="18"/>
        </w:rPr>
        <w:t xml:space="preserve">Wykonawca przeprowadzi </w:t>
      </w:r>
      <w:r w:rsidR="008759A6">
        <w:rPr>
          <w:rFonts w:ascii="Arial" w:hAnsi="Arial" w:cs="Arial"/>
          <w:sz w:val="18"/>
          <w:szCs w:val="18"/>
        </w:rPr>
        <w:t xml:space="preserve">nieodpłatnie szkolenia dla pracowników Zamawiającego po dokonaniu pierwszej dostawy </w:t>
      </w:r>
      <w:r w:rsidR="00517FC1" w:rsidRPr="00517FC1">
        <w:rPr>
          <w:rFonts w:ascii="Arial" w:hAnsi="Arial" w:cs="Arial"/>
          <w:sz w:val="18"/>
          <w:szCs w:val="18"/>
        </w:rPr>
        <w:t xml:space="preserve">w 4 jednostkach szpitala </w:t>
      </w:r>
    </w:p>
    <w:p w:rsidR="00B13E0C" w:rsidRPr="008B6460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Pr="008B6460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Pr="008B6460" w:rsidRDefault="00B13E0C" w:rsidP="00B13E0C">
      <w:pPr>
        <w:rPr>
          <w:rFonts w:ascii="Arial" w:hAnsi="Arial" w:cs="Arial"/>
          <w:sz w:val="18"/>
          <w:szCs w:val="18"/>
        </w:rPr>
      </w:pPr>
    </w:p>
    <w:p w:rsidR="00B13E0C" w:rsidRPr="008B6460" w:rsidRDefault="00B13E0C" w:rsidP="00B13E0C">
      <w:pPr>
        <w:jc w:val="both"/>
        <w:rPr>
          <w:rFonts w:ascii="Arial" w:hAnsi="Arial" w:cs="Arial"/>
          <w:sz w:val="18"/>
          <w:szCs w:val="18"/>
        </w:rPr>
      </w:pPr>
      <w:r w:rsidRPr="008B6460">
        <w:rPr>
          <w:rFonts w:ascii="Arial" w:hAnsi="Arial" w:cs="Arial"/>
          <w:sz w:val="18"/>
          <w:szCs w:val="18"/>
        </w:rPr>
        <w:t>…………………….., dnia …………………………………..</w:t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  <w:t xml:space="preserve">     ………………………………………….</w:t>
      </w:r>
    </w:p>
    <w:p w:rsidR="00B13E0C" w:rsidRDefault="00B13E0C" w:rsidP="00B13E0C">
      <w:pPr>
        <w:jc w:val="center"/>
        <w:rPr>
          <w:rFonts w:ascii="Arial" w:hAnsi="Arial" w:cs="Arial"/>
          <w:sz w:val="18"/>
          <w:szCs w:val="18"/>
        </w:rPr>
      </w:pPr>
      <w:r w:rsidRPr="008B646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8B6460">
        <w:rPr>
          <w:rFonts w:ascii="Arial" w:hAnsi="Arial" w:cs="Arial"/>
          <w:sz w:val="18"/>
          <w:szCs w:val="18"/>
        </w:rPr>
        <w:t xml:space="preserve">       /pieczątka i podpis osoby upoważnionej/</w:t>
      </w:r>
    </w:p>
    <w:p w:rsidR="00B13E0C" w:rsidRPr="00B13E0C" w:rsidRDefault="00B13E0C" w:rsidP="00B13E0C">
      <w:pPr>
        <w:rPr>
          <w:lang w:eastAsia="ar-SA"/>
        </w:rPr>
      </w:pPr>
    </w:p>
    <w:p w:rsidR="00B13E0C" w:rsidRDefault="00B13E0C" w:rsidP="00824ED4">
      <w:pPr>
        <w:pStyle w:val="Nagwek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824ED4" w:rsidRPr="00FF140E" w:rsidRDefault="00824ED4" w:rsidP="00824ED4">
      <w:pPr>
        <w:pStyle w:val="Nagwek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</w:t>
      </w:r>
      <w:r w:rsidRPr="00FF140E">
        <w:rPr>
          <w:rFonts w:ascii="Arial" w:hAnsi="Arial" w:cs="Arial"/>
          <w:sz w:val="20"/>
          <w:szCs w:val="20"/>
        </w:rPr>
        <w:t xml:space="preserve"> nr </w:t>
      </w:r>
      <w:r w:rsidR="006F1321">
        <w:rPr>
          <w:rFonts w:ascii="Arial" w:hAnsi="Arial" w:cs="Arial"/>
          <w:sz w:val="20"/>
          <w:szCs w:val="20"/>
        </w:rPr>
        <w:t>3</w:t>
      </w:r>
      <w:r w:rsidRPr="00FF140E">
        <w:rPr>
          <w:rFonts w:ascii="Arial" w:hAnsi="Arial" w:cs="Arial"/>
          <w:sz w:val="20"/>
          <w:szCs w:val="20"/>
        </w:rPr>
        <w:t>: Preparaty do mycia i dezynfekcji powierzchni szpitalnych, sprzętów i wyrobów medycznych</w:t>
      </w:r>
    </w:p>
    <w:p w:rsidR="00824ED4" w:rsidRDefault="00824ED4" w:rsidP="00824ED4">
      <w:pPr>
        <w:pStyle w:val="Nagwek1"/>
        <w:numPr>
          <w:ilvl w:val="0"/>
          <w:numId w:val="0"/>
        </w:numPr>
        <w:rPr>
          <w:rFonts w:ascii="Arial" w:hAnsi="Arial" w:cs="Arial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5"/>
        <w:gridCol w:w="1134"/>
        <w:gridCol w:w="1559"/>
        <w:gridCol w:w="1135"/>
        <w:gridCol w:w="1134"/>
        <w:gridCol w:w="992"/>
        <w:gridCol w:w="851"/>
        <w:gridCol w:w="1275"/>
        <w:gridCol w:w="1134"/>
      </w:tblGrid>
      <w:tr w:rsidR="00824ED4" w:rsidRPr="00467086" w:rsidTr="00FA05B0">
        <w:trPr>
          <w:cantSplit/>
          <w:trHeight w:val="83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7086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Przeznaczenie środka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Pojemność i rodzaj opakowania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Stawka podatku VAT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sz w:val="18"/>
                <w:szCs w:val="20"/>
              </w:rPr>
              <w:t>Producent/ Nr katalogowy</w:t>
            </w: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pStyle w:val="NormalnyWeb"/>
              <w:ind w:left="0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Preparat dezynfekcyjno-myjący w płynie do dużych powierzchni (szczególnie podłogowych) oraz powierzchni zewnętrznych inkubatorów, nie zawierający chloru, fenoli, aldehydów, kwasu nadoctowego, nie posiadający działania drażniącego i alergennego. Preparat do stosowania w obecności pacjentów dorosłych i noworodków. Minimalne parametry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bójcze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potwierdzone badaniami skuteczności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mikrobójczej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przy użyciu drobnoustrojów wskaźnikowych określonych w  PN-EN dla obszaru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medycznego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: bakteriobójcze,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prątkobójcze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bójcze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wobec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mycobacterium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terrae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i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avium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>), grzybobójcze (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bójcze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wobec Candida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albicans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), wirusobójcze w stężeniu roboczym 0,5%. Czas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biobójczego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działania maksymalnie 15 min. Stabilność przygotowanego roztworu min. 30 dni (potrzebne oświadczenie lub informacja w oryginalnej ulotce producenta preparatu). Preparat nie może uszkadzać powierzchni wykonanych z PCV, elastomerów, poliwęglanów, glazury, pleksi, płyt laminowanych i malowanych olejno, metali. Tolerancja materiałowa potwierdzona badaniami wobec stali szlachetnej,  aluminium, poliwęglanu. Roztwór roboczy nie może powodować efektu klejenia, lepienia się dezynfekowanych powierzchni podłogowych, gwarantowany brak konieczności zmywania preparatu z dezynfekowanej powierzchni w przypadku zastosowania w obecności pacjentów Szpitala. Postać – płyn rozpuszczalny w zimnej wodzie wodociągowej.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litry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Opakowanie o pojemności 5-6l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  <w:r w:rsidRPr="00467086">
              <w:rPr>
                <w:rFonts w:ascii="Arial" w:hAnsi="Arial" w:cs="Arial"/>
                <w:sz w:val="18"/>
              </w:rPr>
              <w:t xml:space="preserve">0 000 l roztworu użytkowego o stężeniu 0,5%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cena za 1 litr 0,5% roztworu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litr)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  <w:szCs w:val="18"/>
              </w:rPr>
              <w:t xml:space="preserve">Preparat na bazie etanolu i propanolu, niezawierający pochodnych fenolowych, QAV i aldehydów, przeznaczony do szybkiej dezynfekcji (również na oddziale noworodkowym) małych powierzchni wyrobów medycznych i miejsc trudno dostępnych nie zanieczyszczonych materiałem biologicznym. Zapach obojętny, niedrażniący. Preparat o działaniu bakteriobójczym, </w:t>
            </w:r>
            <w:proofErr w:type="spellStart"/>
            <w:r w:rsidRPr="00467086">
              <w:rPr>
                <w:rFonts w:ascii="Arial" w:hAnsi="Arial" w:cs="Arial"/>
                <w:sz w:val="18"/>
                <w:szCs w:val="18"/>
              </w:rPr>
              <w:t>prątkobójczym</w:t>
            </w:r>
            <w:proofErr w:type="spellEnd"/>
            <w:r w:rsidRPr="00467086">
              <w:rPr>
                <w:rFonts w:ascii="Arial" w:hAnsi="Arial" w:cs="Arial"/>
                <w:sz w:val="18"/>
                <w:szCs w:val="18"/>
              </w:rPr>
              <w:t xml:space="preserve"> i grzybobójczym, wirusobójczym - czas dezynfekcji 1 minuta, dla </w:t>
            </w:r>
            <w:proofErr w:type="spellStart"/>
            <w:r w:rsidRPr="0046708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467086">
              <w:rPr>
                <w:rFonts w:ascii="Arial" w:hAnsi="Arial" w:cs="Arial"/>
                <w:sz w:val="18"/>
                <w:szCs w:val="18"/>
              </w:rPr>
              <w:t xml:space="preserve"> – czas dezynfekcji 5 min. Postać – płyn gotowy do użycia, w pojemnikach z urządzeniem spryskującym lub spieniającym. </w:t>
            </w:r>
            <w:r w:rsidRPr="00467086">
              <w:rPr>
                <w:rFonts w:ascii="Arial" w:hAnsi="Arial" w:cs="Arial"/>
                <w:sz w:val="18"/>
              </w:rPr>
              <w:t>Postać – płyn gotowy do użycia w opakowaniu jednostkowym.</w:t>
            </w:r>
            <w:r w:rsidRPr="0046708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litry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  <w:szCs w:val="18"/>
              </w:rPr>
              <w:t>Opakowanie</w:t>
            </w:r>
            <w:r w:rsidRPr="00467086">
              <w:rPr>
                <w:rFonts w:ascii="Arial" w:hAnsi="Arial" w:cs="Arial"/>
                <w:sz w:val="18"/>
              </w:rPr>
              <w:t xml:space="preserve"> o pojemności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1 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806</w:t>
            </w:r>
            <w:r w:rsidRPr="00467086">
              <w:rPr>
                <w:rFonts w:ascii="Arial" w:hAnsi="Arial" w:cs="Arial"/>
                <w:bCs/>
                <w:sz w:val="18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litr)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67086">
              <w:rPr>
                <w:rFonts w:ascii="Arial" w:hAnsi="Arial" w:cs="Arial"/>
                <w:sz w:val="18"/>
                <w:szCs w:val="18"/>
              </w:rPr>
              <w:t xml:space="preserve">Preparat na bazie etanolu i propanolu, niezawierający pochodnych fenolowych, QAV i aldehydów, przeznaczony do szybkiej dezynfekcji (również na oddziale noworodkowym) małych powierzchni wyrobów medycznych i miejsc trudno dostępnych nie zanieczyszczonych materiałem biologicznym. Zapach obojętny, niedrażniący. Preparat o działaniu bakteriobójczym, </w:t>
            </w:r>
            <w:proofErr w:type="spellStart"/>
            <w:r w:rsidRPr="00467086">
              <w:rPr>
                <w:rFonts w:ascii="Arial" w:hAnsi="Arial" w:cs="Arial"/>
                <w:sz w:val="18"/>
                <w:szCs w:val="18"/>
              </w:rPr>
              <w:t>prątkobójczym</w:t>
            </w:r>
            <w:proofErr w:type="spellEnd"/>
            <w:r w:rsidRPr="00467086">
              <w:rPr>
                <w:rFonts w:ascii="Arial" w:hAnsi="Arial" w:cs="Arial"/>
                <w:sz w:val="18"/>
                <w:szCs w:val="18"/>
              </w:rPr>
              <w:t xml:space="preserve"> i grzybobójczym, wirusobójczym - czas dezynfekcji 1 minuta, dla </w:t>
            </w:r>
            <w:proofErr w:type="spellStart"/>
            <w:r w:rsidRPr="0046708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467086">
              <w:rPr>
                <w:rFonts w:ascii="Arial" w:hAnsi="Arial" w:cs="Arial"/>
                <w:sz w:val="18"/>
                <w:szCs w:val="18"/>
              </w:rPr>
              <w:t xml:space="preserve"> – czas dezynfekcji 5 min. </w:t>
            </w:r>
            <w:r w:rsidRPr="00467086">
              <w:rPr>
                <w:rFonts w:ascii="Arial" w:hAnsi="Arial" w:cs="Arial"/>
                <w:sz w:val="18"/>
              </w:rPr>
              <w:t>Postać – płyn gotowy do użycia w dużych opakowaniach zbiorczych.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litry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Opakowanie o pojemności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5-10 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202</w:t>
            </w:r>
            <w:r w:rsidRPr="00467086">
              <w:rPr>
                <w:rFonts w:ascii="Arial" w:hAnsi="Arial" w:cs="Arial"/>
                <w:bCs/>
                <w:sz w:val="18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litr)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Preparat na bazie aktywnego chloru do dezynfekcji materiału organicznego, o obojętnym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pH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roztworu, o działaniu bakteriobójczym,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prątkobójczym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sporobójczym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, grzybobójczym i wirusobójczym. Preparat musi posiadać pozwolenie na dezynfekcję naczyń i powierzchni kuchennych w działach żywienia i żywności. Czas dezynfekcji 15 minut. Czas aktywności roztworu roboczego min. 24 godziny (poparte badaniami) Postać – tabletki rozpuszczalne w zimnej wodzie wodociągowej.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Opakowanie o pojemności do 300 tabletek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824ED4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bCs/>
                <w:sz w:val="18"/>
              </w:rPr>
              <w:t>90</w:t>
            </w:r>
            <w:r>
              <w:rPr>
                <w:rFonts w:ascii="Arial" w:hAnsi="Arial" w:cs="Arial"/>
                <w:bCs/>
                <w:sz w:val="18"/>
              </w:rPr>
              <w:t> </w:t>
            </w:r>
            <w:r w:rsidRPr="00467086">
              <w:rPr>
                <w:rFonts w:ascii="Arial" w:hAnsi="Arial" w:cs="Arial"/>
                <w:bCs/>
                <w:sz w:val="18"/>
              </w:rPr>
              <w:t>0</w:t>
            </w:r>
            <w:r>
              <w:rPr>
                <w:rFonts w:ascii="Arial" w:hAnsi="Arial" w:cs="Arial"/>
                <w:bCs/>
                <w:sz w:val="18"/>
              </w:rPr>
              <w:t xml:space="preserve">78 </w:t>
            </w:r>
            <w:r w:rsidRPr="00467086">
              <w:rPr>
                <w:rFonts w:ascii="Arial" w:hAnsi="Arial" w:cs="Arial"/>
                <w:bCs/>
                <w:sz w:val="18"/>
              </w:rPr>
              <w:t>tabletek 300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opak.)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Chusteczki jednorazowe nasączone środkiem dezynfekcyjnym </w:t>
            </w:r>
            <w:r w:rsidRPr="00467086">
              <w:rPr>
                <w:rFonts w:ascii="Arial" w:hAnsi="Arial" w:cs="Arial"/>
                <w:sz w:val="18"/>
                <w:szCs w:val="18"/>
              </w:rPr>
              <w:t>bez alkoholi i bez aldehydów. Preparat</w:t>
            </w:r>
            <w:r w:rsidRPr="00467086">
              <w:rPr>
                <w:rFonts w:ascii="Arial" w:hAnsi="Arial" w:cs="Arial"/>
                <w:sz w:val="18"/>
              </w:rPr>
              <w:t xml:space="preserve"> o działaniu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bójczym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wobec bakterii, grzybów i </w:t>
            </w:r>
            <w:r w:rsidRPr="00467086">
              <w:rPr>
                <w:rFonts w:ascii="Arial" w:hAnsi="Arial" w:cs="Arial"/>
                <w:sz w:val="18"/>
                <w:szCs w:val="18"/>
              </w:rPr>
              <w:t>wirusów  w czasie do 1 minuty. Chusteczki</w:t>
            </w:r>
            <w:r w:rsidRPr="00467086">
              <w:rPr>
                <w:rFonts w:ascii="Arial" w:hAnsi="Arial" w:cs="Arial"/>
                <w:sz w:val="18"/>
              </w:rPr>
              <w:t xml:space="preserve"> do przeprowadzenia dezynfekcji przez przetarcie nie zanieczyszczonych materiałem biologicznym, wrażliwych na alkohol głowic USG, telefonów, słuchawek lekarskich, powierzchni pleksiglas, inkubatorów</w:t>
            </w:r>
            <w:r w:rsidRPr="0046708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67086">
              <w:rPr>
                <w:rFonts w:ascii="Arial" w:hAnsi="Arial" w:cs="Arial"/>
                <w:sz w:val="18"/>
                <w:szCs w:val="20"/>
              </w:rPr>
              <w:t>Postać – nasączone gotowe do użycia chusteczki.  Możliwość przeklejania opisu daty ważności nasączonych chusteczek i numeru serii z wsadu uzupełniającego na opakowanie dozujące.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Chusteczki z opakowaniem dozującym o pojemności do 200 chusteczek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360012</w:t>
            </w:r>
            <w:r w:rsidRPr="00467086">
              <w:rPr>
                <w:rFonts w:ascii="Arial" w:hAnsi="Arial" w:cs="Arial"/>
                <w:bCs/>
                <w:sz w:val="18"/>
              </w:rPr>
              <w:t xml:space="preserve"> chusteczek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opak.)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Wsady uzupełniające o pojemności do 200 chusteczek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Default="00824ED4" w:rsidP="00824ED4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bCs/>
                <w:sz w:val="18"/>
              </w:rPr>
              <w:t>270</w:t>
            </w:r>
            <w:r>
              <w:rPr>
                <w:rFonts w:ascii="Arial" w:hAnsi="Arial" w:cs="Arial"/>
                <w:bCs/>
                <w:sz w:val="18"/>
              </w:rPr>
              <w:t> </w:t>
            </w:r>
            <w:r w:rsidRPr="00467086">
              <w:rPr>
                <w:rFonts w:ascii="Arial" w:hAnsi="Arial" w:cs="Arial"/>
                <w:bCs/>
                <w:sz w:val="18"/>
              </w:rPr>
              <w:t>0</w:t>
            </w:r>
            <w:r>
              <w:rPr>
                <w:rFonts w:ascii="Arial" w:hAnsi="Arial" w:cs="Arial"/>
                <w:bCs/>
                <w:sz w:val="18"/>
              </w:rPr>
              <w:t>32</w:t>
            </w:r>
          </w:p>
          <w:p w:rsidR="00824ED4" w:rsidRPr="00467086" w:rsidRDefault="00824ED4" w:rsidP="00824ED4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bCs/>
                <w:sz w:val="18"/>
              </w:rPr>
              <w:t>chusteczek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opak.)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Gotowe do użycia jednorazowe chusteczki na bazie nadtlenku wodoru lub kwasu nadoctowego (aktywowane wodą wodociągową, lub bez konieczności aktywacji) do mycia i dezynfekcji małych powierzchni sprzętów i wyrobów medycznych w otoczeniu pacjenta zakażonego </w:t>
            </w:r>
            <w:r w:rsidRPr="00467086">
              <w:rPr>
                <w:rFonts w:ascii="Arial" w:hAnsi="Arial" w:cs="Arial"/>
                <w:i/>
                <w:sz w:val="18"/>
              </w:rPr>
              <w:t xml:space="preserve">Clostridium </w:t>
            </w:r>
            <w:proofErr w:type="spellStart"/>
            <w:r w:rsidRPr="00467086">
              <w:rPr>
                <w:rFonts w:ascii="Arial" w:hAnsi="Arial" w:cs="Arial"/>
                <w:i/>
                <w:sz w:val="18"/>
              </w:rPr>
              <w:t>difficile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. Udokumentowane badaniami działanie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sporobójcze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– </w:t>
            </w:r>
            <w:r w:rsidRPr="00467086">
              <w:rPr>
                <w:rFonts w:ascii="Arial" w:hAnsi="Arial" w:cs="Arial"/>
                <w:i/>
                <w:iCs/>
                <w:sz w:val="18"/>
              </w:rPr>
              <w:t xml:space="preserve">Clostridium </w:t>
            </w:r>
            <w:proofErr w:type="spellStart"/>
            <w:r w:rsidRPr="00467086">
              <w:rPr>
                <w:rFonts w:ascii="Arial" w:hAnsi="Arial" w:cs="Arial"/>
                <w:i/>
                <w:iCs/>
                <w:sz w:val="18"/>
              </w:rPr>
              <w:t>difficile</w:t>
            </w:r>
            <w:proofErr w:type="spellEnd"/>
            <w:r w:rsidRPr="00467086">
              <w:rPr>
                <w:rFonts w:ascii="Arial" w:hAnsi="Arial" w:cs="Arial"/>
                <w:i/>
                <w:iCs/>
                <w:sz w:val="18"/>
              </w:rPr>
              <w:t>.</w:t>
            </w:r>
            <w:r w:rsidRPr="00467086">
              <w:rPr>
                <w:rFonts w:ascii="Arial" w:hAnsi="Arial" w:cs="Arial"/>
                <w:sz w:val="18"/>
              </w:rPr>
              <w:t xml:space="preserve"> Postać – chusteczki do nawilżania (aktywacji przez zamoczenie) lub nawilżone.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Chusteczki w opakowaniu do 100 sztuk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bCs/>
                <w:sz w:val="18"/>
              </w:rPr>
              <w:t>4000 chusteczek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opak.)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6259F2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Preparat myjąco – dezynfekcyjny na bazie niejonowych, kationowych i amfoterycznych związków powierzchniowo – czynnych, do czyszczenia i dezynfekcji powierzchni roboczych i drobnego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sprzętu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kuchennego, o działaniu bakteriobójczym, 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pleśniobójczym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 xml:space="preserve"> i grzybobójczym (</w:t>
            </w:r>
            <w:proofErr w:type="spellStart"/>
            <w:r w:rsidRPr="00467086">
              <w:rPr>
                <w:rFonts w:ascii="Arial" w:hAnsi="Arial" w:cs="Arial"/>
                <w:sz w:val="18"/>
              </w:rPr>
              <w:t>drożdżakobójczym</w:t>
            </w:r>
            <w:proofErr w:type="spellEnd"/>
            <w:r w:rsidRPr="00467086">
              <w:rPr>
                <w:rFonts w:ascii="Arial" w:hAnsi="Arial" w:cs="Arial"/>
                <w:sz w:val="18"/>
              </w:rPr>
              <w:t>). Wskazane działanie wirusobójcze. Preparat posiadający zdolności zwilżające, emulgujące; nie niszczący i nie korodujący mytych i dezynfekowanych powierzchni wykonanych ze stali szlachetnej i aluminium, miedzi, tworzyw sztucznych, gumy, drewna oraz powierzchni lakierowanych; w stężeniach użytkowych nie powodujący podrażnienia skóry i błon śluzowych. Stężenie robocze maksymalne 1.0% czas dezynfekcji do 15 minut. Preparat musi posiadać zezwolenie na stosowanie w dezynfekcji powierzchni mających kontakt z żywnością w zakładach służby zdrowia i w zakładach żywienia zbiorowego. Postać – płyn rozpuszczalny w zimnej wodzie wodociągowej.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67086">
              <w:rPr>
                <w:rFonts w:ascii="Arial" w:hAnsi="Arial" w:cs="Arial"/>
                <w:bCs/>
                <w:sz w:val="18"/>
                <w:szCs w:val="20"/>
              </w:rPr>
              <w:t>litry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Kanistry o pojemności do 10l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67086">
              <w:rPr>
                <w:rFonts w:ascii="Arial" w:hAnsi="Arial" w:cs="Arial"/>
                <w:bCs/>
                <w:sz w:val="18"/>
              </w:rPr>
              <w:t>500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 xml:space="preserve">… </w:t>
            </w:r>
          </w:p>
          <w:p w:rsidR="00824ED4" w:rsidRPr="00467086" w:rsidRDefault="00824ED4" w:rsidP="00FA05B0">
            <w:pPr>
              <w:jc w:val="center"/>
              <w:rPr>
                <w:rFonts w:ascii="Arial" w:hAnsi="Arial" w:cs="Arial"/>
                <w:sz w:val="18"/>
              </w:rPr>
            </w:pPr>
            <w:r w:rsidRPr="00467086">
              <w:rPr>
                <w:rFonts w:ascii="Arial" w:hAnsi="Arial" w:cs="Arial"/>
                <w:sz w:val="18"/>
              </w:rPr>
              <w:t>(cena za litr)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24ED4" w:rsidRPr="00467086" w:rsidTr="00FA05B0">
        <w:trPr>
          <w:cantSplit/>
          <w:tblHeader/>
        </w:trPr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24ED4" w:rsidRPr="00467086" w:rsidRDefault="00824ED4" w:rsidP="00FA05B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67086">
              <w:rPr>
                <w:rFonts w:ascii="Arial" w:hAnsi="Arial" w:cs="Arial"/>
                <w:b/>
                <w:bCs/>
                <w:sz w:val="18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24ED4" w:rsidRPr="00467086" w:rsidRDefault="00824ED4" w:rsidP="00FA05B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0" w:color="auto" w:fill="FFFFFF"/>
          </w:tcPr>
          <w:p w:rsidR="00824ED4" w:rsidRPr="00467086" w:rsidRDefault="00824ED4" w:rsidP="00FA05B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24ED4" w:rsidRPr="00467086" w:rsidRDefault="00824ED4" w:rsidP="00FA05B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0" w:color="auto" w:fill="FFFFFF"/>
          </w:tcPr>
          <w:p w:rsidR="00824ED4" w:rsidRPr="00467086" w:rsidRDefault="00824ED4" w:rsidP="00FA05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824ED4" w:rsidRDefault="00824ED4" w:rsidP="00824ED4">
      <w:pPr>
        <w:pStyle w:val="Nagwek1"/>
        <w:numPr>
          <w:ilvl w:val="0"/>
          <w:numId w:val="0"/>
        </w:numPr>
        <w:rPr>
          <w:rFonts w:ascii="Arial" w:hAnsi="Arial" w:cs="Arial"/>
        </w:rPr>
      </w:pPr>
    </w:p>
    <w:p w:rsidR="00824ED4" w:rsidRPr="00FF140E" w:rsidRDefault="00824ED4" w:rsidP="00824ED4">
      <w:pPr>
        <w:pStyle w:val="Nagwek"/>
        <w:tabs>
          <w:tab w:val="left" w:pos="0"/>
        </w:tabs>
        <w:ind w:hanging="360"/>
        <w:rPr>
          <w:b/>
          <w:bCs/>
          <w:sz w:val="18"/>
          <w:szCs w:val="18"/>
        </w:rPr>
      </w:pPr>
      <w:r w:rsidRPr="00FF140E">
        <w:rPr>
          <w:b/>
          <w:bCs/>
          <w:sz w:val="18"/>
          <w:szCs w:val="18"/>
        </w:rPr>
        <w:t>Wymagania:</w:t>
      </w:r>
    </w:p>
    <w:p w:rsidR="00824ED4" w:rsidRPr="00FF140E" w:rsidRDefault="00824ED4" w:rsidP="00824ED4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 w:rsidRPr="00FF140E">
        <w:rPr>
          <w:bCs/>
          <w:sz w:val="18"/>
          <w:szCs w:val="18"/>
        </w:rPr>
        <w:t>Zamawiający nie dopuszcza na zaoferowanie produktów, które mogą wykazywać działanie „rak</w:t>
      </w:r>
      <w:r>
        <w:rPr>
          <w:bCs/>
          <w:sz w:val="18"/>
          <w:szCs w:val="18"/>
        </w:rPr>
        <w:t>otwórcze</w:t>
      </w:r>
      <w:r w:rsidRPr="00FF140E">
        <w:rPr>
          <w:bCs/>
          <w:sz w:val="18"/>
          <w:szCs w:val="18"/>
        </w:rPr>
        <w:t>” lub „prawdopodobnie rako</w:t>
      </w:r>
      <w:r>
        <w:rPr>
          <w:bCs/>
          <w:sz w:val="18"/>
          <w:szCs w:val="18"/>
        </w:rPr>
        <w:t>twórcze</w:t>
      </w:r>
      <w:r w:rsidRPr="00FF140E">
        <w:rPr>
          <w:bCs/>
          <w:sz w:val="18"/>
          <w:szCs w:val="18"/>
        </w:rPr>
        <w:t>”, czy że „podejrzewa się, że powoduje raka”.</w:t>
      </w:r>
    </w:p>
    <w:p w:rsidR="00824ED4" w:rsidRPr="00FF140E" w:rsidRDefault="00824ED4" w:rsidP="00824ED4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 w:rsidRPr="00FF140E">
        <w:rPr>
          <w:bCs/>
          <w:sz w:val="18"/>
          <w:szCs w:val="18"/>
        </w:rPr>
        <w:t xml:space="preserve">Wymagane jest niezmienne spektrum działania </w:t>
      </w:r>
      <w:r>
        <w:rPr>
          <w:bCs/>
          <w:sz w:val="18"/>
          <w:szCs w:val="18"/>
        </w:rPr>
        <w:t xml:space="preserve">preparatów dezynfekcyjnych </w:t>
      </w:r>
      <w:r w:rsidRPr="00FF140E">
        <w:rPr>
          <w:bCs/>
          <w:sz w:val="18"/>
          <w:szCs w:val="18"/>
        </w:rPr>
        <w:t>przez cały okres ważności preparatu.</w:t>
      </w:r>
    </w:p>
    <w:p w:rsidR="00824ED4" w:rsidRPr="00FF140E" w:rsidRDefault="00824ED4" w:rsidP="00824ED4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jc w:val="both"/>
        <w:rPr>
          <w:bCs/>
          <w:sz w:val="18"/>
          <w:szCs w:val="18"/>
        </w:rPr>
      </w:pPr>
      <w:r w:rsidRPr="00FF140E">
        <w:rPr>
          <w:bCs/>
          <w:sz w:val="18"/>
          <w:szCs w:val="18"/>
        </w:rPr>
        <w:t xml:space="preserve">Dostarczane na bieżąco produkty muszą zachowywać ważność </w:t>
      </w:r>
      <w:r>
        <w:rPr>
          <w:bCs/>
          <w:sz w:val="18"/>
          <w:szCs w:val="18"/>
        </w:rPr>
        <w:t xml:space="preserve">przydatności do użycia </w:t>
      </w:r>
      <w:r w:rsidRPr="00FF140E">
        <w:rPr>
          <w:bCs/>
          <w:sz w:val="18"/>
          <w:szCs w:val="18"/>
        </w:rPr>
        <w:t>przez cały okres trwania umowy oraz 12 miesięcy po jej ustaniu.</w:t>
      </w:r>
    </w:p>
    <w:p w:rsidR="00824ED4" w:rsidRDefault="00824ED4" w:rsidP="00824ED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40E">
        <w:rPr>
          <w:rFonts w:ascii="Arial" w:hAnsi="Arial" w:cs="Arial"/>
          <w:sz w:val="18"/>
          <w:szCs w:val="18"/>
        </w:rPr>
        <w:t>Świadectwa rejestracji posiadają ważność przez cały okres trwania umowy lub muszą być aktualizowane na bieżąco, bez wzywania przez Zamawiającego.</w:t>
      </w:r>
    </w:p>
    <w:p w:rsidR="00824ED4" w:rsidRPr="00FF140E" w:rsidRDefault="00824ED4" w:rsidP="00824ED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przeprowadzi minimum 2 nieodpłatne szkolenia stanowiskowe z zakresu zasad przygotowania do użycia i stosowania dostarczonych produktów, zasad bezpieczeństwa pracy. Szkolenie dla pracowników Zamawiającego powinno się odbyć w okresie 1 miesiąca od pierwszej dostawy</w:t>
      </w:r>
    </w:p>
    <w:p w:rsidR="00824ED4" w:rsidRPr="00601D07" w:rsidRDefault="00824ED4" w:rsidP="00824ED4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601D07">
        <w:rPr>
          <w:rFonts w:ascii="Arial" w:hAnsi="Arial" w:cs="Arial"/>
          <w:color w:val="FF0000"/>
          <w:sz w:val="18"/>
          <w:szCs w:val="18"/>
        </w:rPr>
        <w:t>.</w:t>
      </w:r>
    </w:p>
    <w:p w:rsidR="00824ED4" w:rsidRPr="008B6460" w:rsidRDefault="00824ED4" w:rsidP="00824ED4">
      <w:pPr>
        <w:rPr>
          <w:rFonts w:ascii="Arial" w:hAnsi="Arial" w:cs="Arial"/>
          <w:sz w:val="18"/>
          <w:szCs w:val="18"/>
        </w:rPr>
      </w:pPr>
    </w:p>
    <w:p w:rsidR="00824ED4" w:rsidRPr="008B6460" w:rsidRDefault="00824ED4" w:rsidP="00824ED4">
      <w:pPr>
        <w:rPr>
          <w:rFonts w:ascii="Arial" w:hAnsi="Arial" w:cs="Arial"/>
          <w:sz w:val="18"/>
          <w:szCs w:val="18"/>
        </w:rPr>
      </w:pPr>
    </w:p>
    <w:p w:rsidR="00824ED4" w:rsidRPr="008B6460" w:rsidRDefault="00824ED4" w:rsidP="00824ED4">
      <w:pPr>
        <w:jc w:val="both"/>
        <w:rPr>
          <w:rFonts w:ascii="Arial" w:hAnsi="Arial" w:cs="Arial"/>
          <w:sz w:val="18"/>
          <w:szCs w:val="18"/>
        </w:rPr>
      </w:pPr>
      <w:r w:rsidRPr="008B6460">
        <w:rPr>
          <w:rFonts w:ascii="Arial" w:hAnsi="Arial" w:cs="Arial"/>
          <w:sz w:val="18"/>
          <w:szCs w:val="18"/>
        </w:rPr>
        <w:t>…………………….., dnia …………………………………..</w:t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</w:r>
      <w:r w:rsidRPr="008B6460">
        <w:rPr>
          <w:rFonts w:ascii="Arial" w:hAnsi="Arial" w:cs="Arial"/>
          <w:sz w:val="18"/>
          <w:szCs w:val="18"/>
        </w:rPr>
        <w:tab/>
        <w:t xml:space="preserve">     ………………………………………….</w:t>
      </w:r>
    </w:p>
    <w:p w:rsidR="00824ED4" w:rsidRPr="00B13E0C" w:rsidRDefault="00824ED4" w:rsidP="00B13E0C">
      <w:pPr>
        <w:jc w:val="center"/>
        <w:rPr>
          <w:rFonts w:ascii="Arial" w:hAnsi="Arial" w:cs="Arial"/>
          <w:sz w:val="18"/>
          <w:szCs w:val="18"/>
        </w:rPr>
      </w:pPr>
      <w:r w:rsidRPr="008B646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8B6460">
        <w:rPr>
          <w:rFonts w:ascii="Arial" w:hAnsi="Arial" w:cs="Arial"/>
          <w:sz w:val="18"/>
          <w:szCs w:val="18"/>
        </w:rPr>
        <w:t xml:space="preserve">      /pieczątka i podpis osoby upoważnionej/</w:t>
      </w:r>
    </w:p>
    <w:p w:rsidR="00824ED4" w:rsidRDefault="00824ED4" w:rsidP="00824ED4">
      <w:pPr>
        <w:rPr>
          <w:lang w:eastAsia="ar-SA"/>
        </w:rPr>
      </w:pPr>
    </w:p>
    <w:p w:rsidR="00A233B2" w:rsidRDefault="00A233B2"/>
    <w:sectPr w:rsidR="00A233B2" w:rsidSect="00824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10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73541DF9"/>
    <w:multiLevelType w:val="hybridMultilevel"/>
    <w:tmpl w:val="3BDE3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ED4"/>
    <w:rsid w:val="000F4FD8"/>
    <w:rsid w:val="004303E7"/>
    <w:rsid w:val="004D3C29"/>
    <w:rsid w:val="00517FC1"/>
    <w:rsid w:val="005C67D3"/>
    <w:rsid w:val="006259F2"/>
    <w:rsid w:val="006F1321"/>
    <w:rsid w:val="007301B4"/>
    <w:rsid w:val="00824ED4"/>
    <w:rsid w:val="008759A6"/>
    <w:rsid w:val="00A233B2"/>
    <w:rsid w:val="00AB2BA5"/>
    <w:rsid w:val="00B13E0C"/>
    <w:rsid w:val="00B30867"/>
    <w:rsid w:val="00CF0654"/>
    <w:rsid w:val="00D053A9"/>
    <w:rsid w:val="00E3157F"/>
    <w:rsid w:val="00E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4ED4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24ED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24ED4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824ED4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824ED4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824ED4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824ED4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824ED4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824ED4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24ED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24ED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24E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24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24E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24E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24E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24ED4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824ED4"/>
    <w:pPr>
      <w:ind w:left="225"/>
    </w:pPr>
  </w:style>
  <w:style w:type="paragraph" w:styleId="Nagwek">
    <w:name w:val="header"/>
    <w:basedOn w:val="Normalny"/>
    <w:link w:val="NagwekZnak"/>
    <w:unhideWhenUsed/>
    <w:rsid w:val="00824ED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NagwekZnak">
    <w:name w:val="Nagłówek Znak"/>
    <w:basedOn w:val="Domylnaczcionkaakapitu"/>
    <w:link w:val="Nagwek"/>
    <w:rsid w:val="00824ED4"/>
    <w:rPr>
      <w:rFonts w:ascii="Arial" w:eastAsia="Times New Roman" w:hAnsi="Arial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w Poznaniu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14</cp:revision>
  <dcterms:created xsi:type="dcterms:W3CDTF">2018-07-10T08:02:00Z</dcterms:created>
  <dcterms:modified xsi:type="dcterms:W3CDTF">2018-07-13T12:35:00Z</dcterms:modified>
</cp:coreProperties>
</file>