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91" w:rsidRPr="00EB3A0F" w:rsidRDefault="0090732C" w:rsidP="00557000">
      <w:pPr>
        <w:pStyle w:val="Nagwek"/>
        <w:tabs>
          <w:tab w:val="clear" w:pos="4536"/>
        </w:tabs>
        <w:spacing w:line="360" w:lineRule="auto"/>
        <w:jc w:val="both"/>
        <w:rPr>
          <w:rFonts w:ascii="Times New Roman" w:eastAsia="Times New Roman" w:hAnsi="Times New Roman"/>
          <w:sz w:val="24"/>
          <w:szCs w:val="24"/>
          <w:lang w:val="en-US"/>
        </w:rPr>
      </w:pPr>
      <w:bookmarkStart w:id="0" w:name="_GoBack"/>
      <w:bookmarkEnd w:id="0"/>
      <w:r w:rsidRPr="00EB3A0F">
        <w:rPr>
          <w:rFonts w:ascii="Times New Roman" w:hAnsi="Times New Roman"/>
          <w:sz w:val="24"/>
          <w:szCs w:val="24"/>
          <w:lang w:val="en-US"/>
        </w:rPr>
        <w:t>Case file no.</w:t>
      </w:r>
      <w:r w:rsidR="00122E91" w:rsidRPr="00EB3A0F">
        <w:rPr>
          <w:rFonts w:ascii="Times New Roman" w:hAnsi="Times New Roman"/>
          <w:sz w:val="24"/>
          <w:szCs w:val="24"/>
          <w:lang w:val="en-US"/>
        </w:rPr>
        <w:t>: XIV/264/</w:t>
      </w:r>
      <w:r w:rsidR="00122E91" w:rsidRPr="00EB3A0F">
        <w:rPr>
          <w:rFonts w:ascii="Times New Roman" w:hAnsi="Times New Roman"/>
          <w:b/>
          <w:sz w:val="24"/>
          <w:szCs w:val="24"/>
          <w:lang w:val="en-US"/>
        </w:rPr>
        <w:t>14/</w:t>
      </w:r>
      <w:r w:rsidR="00122E91" w:rsidRPr="00EB3A0F">
        <w:rPr>
          <w:rFonts w:ascii="Times New Roman" w:hAnsi="Times New Roman"/>
          <w:sz w:val="24"/>
          <w:szCs w:val="24"/>
          <w:lang w:val="en-US"/>
        </w:rPr>
        <w:t>17</w:t>
      </w:r>
      <w:r w:rsidR="00122E91" w:rsidRPr="00EB3A0F">
        <w:rPr>
          <w:rFonts w:ascii="Times New Roman" w:hAnsi="Times New Roman"/>
          <w:sz w:val="24"/>
          <w:szCs w:val="24"/>
          <w:lang w:val="en-US"/>
        </w:rPr>
        <w:tab/>
      </w:r>
      <w:r w:rsidRPr="00EB3A0F">
        <w:rPr>
          <w:rFonts w:ascii="Times New Roman" w:hAnsi="Times New Roman"/>
          <w:sz w:val="24"/>
          <w:szCs w:val="24"/>
          <w:lang w:val="en-US"/>
        </w:rPr>
        <w:t>Warsaw</w:t>
      </w:r>
      <w:r w:rsidR="00AE7F23">
        <w:rPr>
          <w:rFonts w:ascii="Times New Roman" w:hAnsi="Times New Roman"/>
          <w:sz w:val="24"/>
          <w:szCs w:val="24"/>
          <w:lang w:val="en-US"/>
        </w:rPr>
        <w:t>, 2017-11-27</w:t>
      </w:r>
    </w:p>
    <w:p w:rsidR="00122E91" w:rsidRPr="00EB3A0F" w:rsidRDefault="00122E91" w:rsidP="00557000">
      <w:pPr>
        <w:tabs>
          <w:tab w:val="right" w:pos="9072"/>
        </w:tabs>
        <w:spacing w:after="0" w:line="360" w:lineRule="auto"/>
        <w:ind w:left="426"/>
        <w:jc w:val="both"/>
        <w:rPr>
          <w:rFonts w:ascii="Times New Roman" w:hAnsi="Times New Roman"/>
          <w:b/>
          <w:sz w:val="24"/>
          <w:szCs w:val="24"/>
          <w:lang w:val="en-US"/>
        </w:rPr>
      </w:pPr>
    </w:p>
    <w:p w:rsidR="00122E91" w:rsidRPr="00EB3A0F" w:rsidRDefault="007307D7" w:rsidP="00AE7F23">
      <w:pPr>
        <w:tabs>
          <w:tab w:val="right" w:pos="9072"/>
        </w:tabs>
        <w:spacing w:after="0" w:line="360" w:lineRule="auto"/>
        <w:jc w:val="center"/>
        <w:rPr>
          <w:rFonts w:ascii="Times New Roman" w:hAnsi="Times New Roman"/>
          <w:b/>
          <w:sz w:val="24"/>
          <w:szCs w:val="24"/>
          <w:lang w:val="en-US"/>
        </w:rPr>
      </w:pPr>
      <w:r w:rsidRPr="00295001">
        <w:rPr>
          <w:rFonts w:ascii="Times New Roman" w:hAnsi="Times New Roman"/>
          <w:b/>
          <w:sz w:val="24"/>
          <w:szCs w:val="24"/>
          <w:lang w:val="en-US"/>
        </w:rPr>
        <w:t>INFORMATION ABOUT CORRECT</w:t>
      </w:r>
      <w:r>
        <w:rPr>
          <w:rFonts w:ascii="Times New Roman" w:hAnsi="Times New Roman"/>
          <w:b/>
          <w:sz w:val="24"/>
          <w:szCs w:val="24"/>
          <w:lang w:val="en-US"/>
        </w:rPr>
        <w:t>ION OF THE TRANSLATION OF THE To</w:t>
      </w:r>
      <w:r w:rsidRPr="00295001">
        <w:rPr>
          <w:rFonts w:ascii="Times New Roman" w:hAnsi="Times New Roman"/>
          <w:b/>
          <w:sz w:val="24"/>
          <w:szCs w:val="24"/>
          <w:lang w:val="en-US"/>
        </w:rPr>
        <w:t>R</w:t>
      </w:r>
    </w:p>
    <w:p w:rsidR="00122E91" w:rsidRPr="00EB3A0F" w:rsidRDefault="00122E91" w:rsidP="00557000">
      <w:pPr>
        <w:tabs>
          <w:tab w:val="right" w:pos="9072"/>
        </w:tabs>
        <w:spacing w:after="0" w:line="360" w:lineRule="auto"/>
        <w:ind w:left="426"/>
        <w:jc w:val="both"/>
        <w:rPr>
          <w:rFonts w:ascii="Times New Roman" w:hAnsi="Times New Roman"/>
          <w:b/>
          <w:sz w:val="24"/>
          <w:szCs w:val="24"/>
          <w:lang w:val="en-US"/>
        </w:rPr>
      </w:pPr>
    </w:p>
    <w:p w:rsidR="00122E91" w:rsidRPr="00EB3A0F" w:rsidRDefault="0090732C" w:rsidP="00557000">
      <w:pPr>
        <w:tabs>
          <w:tab w:val="left" w:pos="1276"/>
          <w:tab w:val="right" w:pos="9072"/>
        </w:tabs>
        <w:suppressAutoHyphens/>
        <w:spacing w:after="0" w:line="240" w:lineRule="auto"/>
        <w:jc w:val="both"/>
        <w:rPr>
          <w:rFonts w:ascii="Times New Roman" w:hAnsi="Times New Roman"/>
          <w:b/>
          <w:sz w:val="24"/>
          <w:szCs w:val="24"/>
          <w:lang w:val="en-US"/>
        </w:rPr>
      </w:pPr>
      <w:r w:rsidRPr="00EB3A0F">
        <w:rPr>
          <w:rFonts w:ascii="Times New Roman" w:hAnsi="Times New Roman"/>
          <w:b/>
          <w:sz w:val="24"/>
          <w:szCs w:val="24"/>
          <w:lang w:val="en-US"/>
        </w:rPr>
        <w:t>Re.: open tender public procurement procedure pursuant to Article 39 of the Public Procurement Law of 29 January 2004 (Journal of Laws of 2015, Item 2164, as amended) (hereinafter the "PPL") named: "Purchase and Implementation of an the Integrated Resource Management System for Libraries”.</w:t>
      </w:r>
    </w:p>
    <w:p w:rsidR="00122E91" w:rsidRPr="00EB3A0F" w:rsidRDefault="00122E91" w:rsidP="00557000">
      <w:pPr>
        <w:spacing w:after="0" w:line="360" w:lineRule="auto"/>
        <w:jc w:val="both"/>
        <w:rPr>
          <w:rFonts w:ascii="Times New Roman" w:hAnsi="Times New Roman"/>
          <w:sz w:val="24"/>
          <w:szCs w:val="24"/>
          <w:lang w:val="en-US"/>
        </w:rPr>
      </w:pPr>
    </w:p>
    <w:p w:rsidR="00A07AA3" w:rsidRPr="00116ECF" w:rsidRDefault="00A07AA3" w:rsidP="00557000">
      <w:pPr>
        <w:pStyle w:val="Akapitzlist"/>
        <w:spacing w:line="360" w:lineRule="auto"/>
        <w:ind w:left="0"/>
        <w:jc w:val="both"/>
        <w:rPr>
          <w:rFonts w:ascii="Times New Roman" w:eastAsia="Times New Roman" w:hAnsi="Times New Roman"/>
          <w:b/>
          <w:sz w:val="24"/>
          <w:szCs w:val="24"/>
          <w:lang w:val="en-US"/>
        </w:rPr>
      </w:pPr>
    </w:p>
    <w:p w:rsidR="00122E91" w:rsidRDefault="004F361D" w:rsidP="004F361D">
      <w:pPr>
        <w:pStyle w:val="Akapitzlist"/>
        <w:numPr>
          <w:ilvl w:val="0"/>
          <w:numId w:val="25"/>
        </w:numPr>
        <w:spacing w:line="360" w:lineRule="auto"/>
        <w:jc w:val="both"/>
        <w:rPr>
          <w:rFonts w:ascii="Times New Roman" w:hAnsi="Times New Roman"/>
          <w:sz w:val="24"/>
          <w:szCs w:val="24"/>
          <w:lang w:val="en-US"/>
        </w:rPr>
      </w:pPr>
      <w:r w:rsidRPr="004F361D">
        <w:rPr>
          <w:rFonts w:ascii="Times New Roman" w:hAnsi="Times New Roman"/>
          <w:sz w:val="24"/>
          <w:szCs w:val="24"/>
          <w:lang w:val="en-US"/>
        </w:rPr>
        <w:t xml:space="preserve">Due to obvious translation errors </w:t>
      </w:r>
      <w:r>
        <w:rPr>
          <w:rFonts w:ascii="Times New Roman" w:hAnsi="Times New Roman"/>
          <w:sz w:val="24"/>
          <w:szCs w:val="24"/>
          <w:lang w:val="en-US"/>
        </w:rPr>
        <w:t>t</w:t>
      </w:r>
      <w:r w:rsidR="00403F34" w:rsidRPr="00EB3A0F">
        <w:rPr>
          <w:rFonts w:ascii="Times New Roman" w:hAnsi="Times New Roman"/>
          <w:sz w:val="24"/>
          <w:szCs w:val="24"/>
          <w:lang w:val="en-US"/>
        </w:rPr>
        <w:t xml:space="preserve">he Contracting Authority, pursuant to Article 38 Section </w:t>
      </w:r>
      <w:r w:rsidR="00A42196">
        <w:rPr>
          <w:rFonts w:ascii="Times New Roman" w:hAnsi="Times New Roman"/>
          <w:sz w:val="24"/>
          <w:szCs w:val="24"/>
          <w:lang w:val="en-US"/>
        </w:rPr>
        <w:t xml:space="preserve">4 of the PPL, hereby amends the </w:t>
      </w:r>
      <w:r w:rsidR="00A42196" w:rsidRPr="00FB1201">
        <w:rPr>
          <w:rFonts w:ascii="Times New Roman" w:hAnsi="Times New Roman"/>
          <w:b/>
          <w:sz w:val="24"/>
          <w:szCs w:val="24"/>
          <w:u w:val="single"/>
          <w:lang w:val="en-US"/>
        </w:rPr>
        <w:t>translation</w:t>
      </w:r>
      <w:r w:rsidR="00A42196">
        <w:rPr>
          <w:rFonts w:ascii="Times New Roman" w:hAnsi="Times New Roman"/>
          <w:sz w:val="24"/>
          <w:szCs w:val="24"/>
          <w:lang w:val="en-US"/>
        </w:rPr>
        <w:t xml:space="preserve"> </w:t>
      </w:r>
      <w:r w:rsidR="00475E1B">
        <w:rPr>
          <w:rFonts w:ascii="Times New Roman" w:hAnsi="Times New Roman"/>
          <w:sz w:val="24"/>
          <w:szCs w:val="24"/>
          <w:lang w:val="en-US"/>
        </w:rPr>
        <w:t xml:space="preserve">of the </w:t>
      </w:r>
      <w:proofErr w:type="spellStart"/>
      <w:r w:rsidR="00403F34" w:rsidRPr="00EB3A0F">
        <w:rPr>
          <w:rFonts w:ascii="Times New Roman" w:hAnsi="Times New Roman"/>
          <w:sz w:val="24"/>
          <w:szCs w:val="24"/>
          <w:lang w:val="en-US"/>
        </w:rPr>
        <w:t>ToR</w:t>
      </w:r>
      <w:proofErr w:type="spellEnd"/>
      <w:r w:rsidR="00403F34" w:rsidRPr="00EB3A0F">
        <w:rPr>
          <w:rFonts w:ascii="Times New Roman" w:hAnsi="Times New Roman"/>
          <w:sz w:val="24"/>
          <w:szCs w:val="24"/>
          <w:lang w:val="en-US"/>
        </w:rPr>
        <w:t xml:space="preserve"> so that:</w:t>
      </w:r>
    </w:p>
    <w:p w:rsidR="002C216B" w:rsidRPr="00A07AA3" w:rsidRDefault="002C216B" w:rsidP="00A07AA3">
      <w:pPr>
        <w:pStyle w:val="Akapitzlist"/>
        <w:spacing w:line="360" w:lineRule="auto"/>
        <w:ind w:left="0"/>
        <w:jc w:val="both"/>
        <w:rPr>
          <w:rFonts w:ascii="Times New Roman" w:hAnsi="Times New Roman"/>
          <w:sz w:val="24"/>
          <w:szCs w:val="24"/>
          <w:lang w:val="en-US"/>
        </w:rPr>
      </w:pPr>
    </w:p>
    <w:p w:rsidR="00F4151C" w:rsidRPr="002C216B" w:rsidRDefault="00F4151C" w:rsidP="002C216B">
      <w:pPr>
        <w:pStyle w:val="Akapitzlist"/>
        <w:numPr>
          <w:ilvl w:val="0"/>
          <w:numId w:val="24"/>
        </w:numPr>
        <w:spacing w:after="0" w:line="360" w:lineRule="auto"/>
        <w:jc w:val="both"/>
        <w:outlineLvl w:val="0"/>
        <w:rPr>
          <w:rFonts w:ascii="Times New Roman" w:hAnsi="Times New Roman"/>
          <w:b/>
          <w:sz w:val="24"/>
          <w:szCs w:val="24"/>
          <w:u w:val="single"/>
          <w:lang w:val="en-US"/>
        </w:rPr>
      </w:pPr>
      <w:r w:rsidRPr="002C216B">
        <w:rPr>
          <w:rFonts w:ascii="Times New Roman" w:hAnsi="Times New Roman"/>
          <w:b/>
          <w:sz w:val="24"/>
          <w:szCs w:val="24"/>
          <w:u w:val="single"/>
          <w:lang w:val="en-US"/>
        </w:rPr>
        <w:t xml:space="preserve">In </w:t>
      </w:r>
      <w:r w:rsidR="00093080" w:rsidRPr="002C216B">
        <w:rPr>
          <w:rFonts w:ascii="Times New Roman" w:hAnsi="Times New Roman"/>
          <w:b/>
          <w:sz w:val="24"/>
          <w:szCs w:val="24"/>
          <w:u w:val="single"/>
          <w:lang w:val="en-US"/>
        </w:rPr>
        <w:t>the Attachment no</w:t>
      </w:r>
      <w:r w:rsidR="001A7535">
        <w:rPr>
          <w:rFonts w:ascii="Times New Roman" w:hAnsi="Times New Roman"/>
          <w:b/>
          <w:sz w:val="24"/>
          <w:szCs w:val="24"/>
          <w:u w:val="single"/>
          <w:lang w:val="en-US"/>
        </w:rPr>
        <w:t>.</w:t>
      </w:r>
      <w:r w:rsidR="00093080" w:rsidRPr="002C216B">
        <w:rPr>
          <w:rFonts w:ascii="Times New Roman" w:hAnsi="Times New Roman"/>
          <w:b/>
          <w:sz w:val="24"/>
          <w:szCs w:val="24"/>
          <w:u w:val="single"/>
          <w:lang w:val="en-US"/>
        </w:rPr>
        <w:t xml:space="preserve"> 1</w:t>
      </w:r>
      <w:r w:rsidRPr="002C216B">
        <w:rPr>
          <w:rFonts w:ascii="Times New Roman" w:hAnsi="Times New Roman"/>
          <w:b/>
          <w:sz w:val="24"/>
          <w:szCs w:val="24"/>
          <w:u w:val="single"/>
          <w:lang w:val="en-US"/>
        </w:rPr>
        <w:t xml:space="preserve"> to the </w:t>
      </w:r>
      <w:proofErr w:type="spellStart"/>
      <w:r w:rsidRPr="002C216B">
        <w:rPr>
          <w:rFonts w:ascii="Times New Roman" w:hAnsi="Times New Roman"/>
          <w:b/>
          <w:sz w:val="24"/>
          <w:szCs w:val="24"/>
          <w:u w:val="single"/>
          <w:lang w:val="en-US"/>
        </w:rPr>
        <w:t>ToR</w:t>
      </w:r>
      <w:proofErr w:type="spellEnd"/>
      <w:r w:rsidRPr="002C216B">
        <w:rPr>
          <w:rFonts w:ascii="Times New Roman" w:hAnsi="Times New Roman"/>
          <w:b/>
          <w:sz w:val="24"/>
          <w:szCs w:val="24"/>
          <w:u w:val="single"/>
          <w:lang w:val="en-US"/>
        </w:rPr>
        <w:t xml:space="preserve"> - Descriptio</w:t>
      </w:r>
      <w:r w:rsidR="00103D01" w:rsidRPr="002C216B">
        <w:rPr>
          <w:rFonts w:ascii="Times New Roman" w:hAnsi="Times New Roman"/>
          <w:b/>
          <w:sz w:val="24"/>
          <w:szCs w:val="24"/>
          <w:u w:val="single"/>
          <w:lang w:val="en-US"/>
        </w:rPr>
        <w:t>n of the Object of the Contract</w:t>
      </w:r>
      <w:r w:rsidRPr="002C216B">
        <w:rPr>
          <w:rFonts w:ascii="Times New Roman" w:hAnsi="Times New Roman"/>
          <w:b/>
          <w:sz w:val="24"/>
          <w:szCs w:val="24"/>
          <w:u w:val="single"/>
          <w:lang w:val="en-US"/>
        </w:rPr>
        <w:t>:</w:t>
      </w:r>
    </w:p>
    <w:p w:rsidR="000F2964" w:rsidRDefault="000F2964" w:rsidP="001739D2">
      <w:pPr>
        <w:spacing w:after="0" w:line="360" w:lineRule="auto"/>
        <w:contextualSpacing/>
        <w:jc w:val="both"/>
        <w:outlineLvl w:val="0"/>
        <w:rPr>
          <w:rFonts w:ascii="Times New Roman" w:hAnsi="Times New Roman"/>
          <w:sz w:val="24"/>
          <w:szCs w:val="24"/>
          <w:lang w:val="en-US"/>
        </w:rPr>
      </w:pPr>
    </w:p>
    <w:p w:rsidR="00F4151C" w:rsidRDefault="000F2964" w:rsidP="000F2964">
      <w:pPr>
        <w:pStyle w:val="Akapitzlist"/>
        <w:numPr>
          <w:ilvl w:val="0"/>
          <w:numId w:val="23"/>
        </w:numPr>
        <w:spacing w:after="0" w:line="360" w:lineRule="auto"/>
        <w:jc w:val="both"/>
        <w:outlineLvl w:val="0"/>
        <w:rPr>
          <w:rFonts w:ascii="Times New Roman" w:hAnsi="Times New Roman"/>
          <w:b/>
          <w:sz w:val="24"/>
          <w:szCs w:val="24"/>
          <w:lang w:val="en-US"/>
        </w:rPr>
      </w:pPr>
      <w:r>
        <w:rPr>
          <w:rFonts w:ascii="Times New Roman" w:hAnsi="Times New Roman"/>
          <w:b/>
          <w:sz w:val="24"/>
          <w:szCs w:val="24"/>
          <w:lang w:val="en-US"/>
        </w:rPr>
        <w:t>Item 2.3</w:t>
      </w:r>
      <w:r w:rsidR="001739D2" w:rsidRPr="002C216B">
        <w:rPr>
          <w:rFonts w:ascii="Times New Roman" w:hAnsi="Times New Roman"/>
          <w:b/>
          <w:sz w:val="24"/>
          <w:szCs w:val="24"/>
          <w:lang w:val="en-US"/>
        </w:rPr>
        <w:t>.</w:t>
      </w:r>
      <w:r>
        <w:rPr>
          <w:rFonts w:ascii="Times New Roman" w:hAnsi="Times New Roman"/>
          <w:b/>
          <w:sz w:val="24"/>
          <w:szCs w:val="24"/>
          <w:lang w:val="en-US"/>
        </w:rPr>
        <w:t xml:space="preserve"> </w:t>
      </w:r>
      <w:r w:rsidRPr="000F2964">
        <w:rPr>
          <w:rFonts w:ascii="Times New Roman" w:hAnsi="Times New Roman"/>
          <w:b/>
          <w:sz w:val="24"/>
          <w:szCs w:val="24"/>
          <w:lang w:val="en-US"/>
        </w:rPr>
        <w:t>Plan of implementation</w:t>
      </w:r>
      <w:r w:rsidR="00F4151C" w:rsidRPr="002C216B">
        <w:rPr>
          <w:rFonts w:ascii="Times New Roman" w:hAnsi="Times New Roman"/>
          <w:b/>
          <w:sz w:val="24"/>
          <w:szCs w:val="24"/>
          <w:lang w:val="en-US"/>
        </w:rPr>
        <w:t>:</w:t>
      </w:r>
    </w:p>
    <w:p w:rsidR="000F2964" w:rsidRPr="002C216B" w:rsidRDefault="000F2964" w:rsidP="000F2964">
      <w:pPr>
        <w:pStyle w:val="Akapitzlist"/>
        <w:numPr>
          <w:ilvl w:val="0"/>
          <w:numId w:val="21"/>
        </w:numPr>
        <w:spacing w:after="0" w:line="360" w:lineRule="auto"/>
        <w:jc w:val="both"/>
        <w:outlineLvl w:val="0"/>
        <w:rPr>
          <w:rFonts w:ascii="Times New Roman" w:hAnsi="Times New Roman"/>
          <w:sz w:val="24"/>
          <w:szCs w:val="24"/>
          <w:u w:val="single"/>
          <w:lang w:val="en-US"/>
        </w:rPr>
      </w:pPr>
      <w:r w:rsidRPr="002C216B">
        <w:rPr>
          <w:rFonts w:ascii="Times New Roman" w:hAnsi="Times New Roman"/>
          <w:sz w:val="24"/>
          <w:szCs w:val="24"/>
          <w:u w:val="single"/>
          <w:lang w:val="en-US"/>
        </w:rPr>
        <w:t>the provision that currently reads:</w:t>
      </w:r>
    </w:p>
    <w:p w:rsidR="000F2964" w:rsidRPr="001739D2" w:rsidRDefault="000F2964" w:rsidP="000F2964">
      <w:pPr>
        <w:spacing w:after="0" w:line="360" w:lineRule="auto"/>
        <w:contextualSpacing/>
        <w:jc w:val="both"/>
        <w:outlineLvl w:val="0"/>
        <w:rPr>
          <w:rFonts w:ascii="Times New Roman" w:hAnsi="Times New Roman"/>
          <w:sz w:val="24"/>
          <w:szCs w:val="24"/>
          <w:lang w:val="en-US"/>
        </w:rPr>
      </w:pPr>
      <w:r>
        <w:rPr>
          <w:rFonts w:ascii="Times New Roman" w:hAnsi="Times New Roman"/>
          <w:sz w:val="24"/>
          <w:szCs w:val="24"/>
          <w:lang w:val="en-US"/>
        </w:rPr>
        <w:t>„</w:t>
      </w:r>
      <w:r w:rsidRPr="000F2964">
        <w:rPr>
          <w:lang w:val="en-US"/>
        </w:rPr>
        <w:t xml:space="preserve"> </w:t>
      </w:r>
      <w:r w:rsidRPr="000F2964">
        <w:rPr>
          <w:rFonts w:ascii="Times New Roman" w:hAnsi="Times New Roman"/>
          <w:sz w:val="24"/>
          <w:szCs w:val="24"/>
          <w:lang w:val="en-US"/>
        </w:rPr>
        <w:t>Implementation at the National Library is to be completed no la</w:t>
      </w:r>
      <w:r>
        <w:rPr>
          <w:rFonts w:ascii="Times New Roman" w:hAnsi="Times New Roman"/>
          <w:sz w:val="24"/>
          <w:szCs w:val="24"/>
          <w:lang w:val="en-US"/>
        </w:rPr>
        <w:t>ter than after 31 December 2018</w:t>
      </w:r>
      <w:r w:rsidRPr="001739D2">
        <w:rPr>
          <w:rFonts w:ascii="Times New Roman" w:hAnsi="Times New Roman"/>
          <w:sz w:val="24"/>
          <w:szCs w:val="24"/>
          <w:lang w:val="en-US"/>
        </w:rPr>
        <w:t>.”</w:t>
      </w:r>
    </w:p>
    <w:p w:rsidR="000F2964" w:rsidRPr="001739D2" w:rsidRDefault="000F2964" w:rsidP="000F2964">
      <w:pPr>
        <w:spacing w:after="0" w:line="360" w:lineRule="auto"/>
        <w:contextualSpacing/>
        <w:jc w:val="both"/>
        <w:outlineLvl w:val="0"/>
        <w:rPr>
          <w:rFonts w:ascii="Times New Roman" w:hAnsi="Times New Roman"/>
          <w:sz w:val="24"/>
          <w:szCs w:val="24"/>
          <w:lang w:val="en-US"/>
        </w:rPr>
      </w:pPr>
    </w:p>
    <w:p w:rsidR="000F2964" w:rsidRPr="002C216B" w:rsidRDefault="000F2964" w:rsidP="000F2964">
      <w:pPr>
        <w:pStyle w:val="Akapitzlist"/>
        <w:numPr>
          <w:ilvl w:val="0"/>
          <w:numId w:val="21"/>
        </w:numPr>
        <w:spacing w:after="0" w:line="360" w:lineRule="auto"/>
        <w:jc w:val="both"/>
        <w:outlineLvl w:val="0"/>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0F2964" w:rsidRDefault="000F2964" w:rsidP="000F2964">
      <w:pPr>
        <w:spacing w:after="0" w:line="360" w:lineRule="auto"/>
        <w:contextualSpacing/>
        <w:jc w:val="both"/>
        <w:outlineLvl w:val="0"/>
        <w:rPr>
          <w:rFonts w:ascii="Times New Roman" w:hAnsi="Times New Roman"/>
          <w:sz w:val="24"/>
          <w:szCs w:val="24"/>
          <w:lang w:val="en-US"/>
        </w:rPr>
      </w:pPr>
      <w:r>
        <w:rPr>
          <w:rFonts w:ascii="Times New Roman" w:hAnsi="Times New Roman"/>
          <w:sz w:val="24"/>
          <w:szCs w:val="24"/>
          <w:lang w:val="en-US"/>
        </w:rPr>
        <w:t>„</w:t>
      </w:r>
      <w:r w:rsidRPr="000F2964">
        <w:rPr>
          <w:lang w:val="en-US"/>
        </w:rPr>
        <w:t xml:space="preserve"> </w:t>
      </w:r>
      <w:r w:rsidRPr="000F2964">
        <w:rPr>
          <w:rFonts w:ascii="Times New Roman" w:hAnsi="Times New Roman"/>
          <w:sz w:val="24"/>
          <w:szCs w:val="24"/>
          <w:lang w:val="en-US"/>
        </w:rPr>
        <w:t>Implementation at the National Library is to be completed no la</w:t>
      </w:r>
      <w:r>
        <w:rPr>
          <w:rFonts w:ascii="Times New Roman" w:hAnsi="Times New Roman"/>
          <w:sz w:val="24"/>
          <w:szCs w:val="24"/>
          <w:lang w:val="en-US"/>
        </w:rPr>
        <w:t>ter than 31 December 2018</w:t>
      </w:r>
      <w:r w:rsidRPr="001739D2">
        <w:rPr>
          <w:rFonts w:ascii="Times New Roman" w:hAnsi="Times New Roman"/>
          <w:sz w:val="24"/>
          <w:szCs w:val="24"/>
          <w:lang w:val="en-US"/>
        </w:rPr>
        <w:t>.”</w:t>
      </w:r>
    </w:p>
    <w:p w:rsidR="000F2964" w:rsidRPr="000F2964" w:rsidRDefault="000F2964" w:rsidP="000F2964">
      <w:pPr>
        <w:spacing w:after="0" w:line="360" w:lineRule="auto"/>
        <w:jc w:val="both"/>
        <w:outlineLvl w:val="0"/>
        <w:rPr>
          <w:rFonts w:ascii="Times New Roman" w:hAnsi="Times New Roman"/>
          <w:b/>
          <w:sz w:val="24"/>
          <w:szCs w:val="24"/>
          <w:lang w:val="en-US"/>
        </w:rPr>
      </w:pPr>
    </w:p>
    <w:p w:rsidR="000F2964" w:rsidRPr="002C216B" w:rsidRDefault="000F2964" w:rsidP="000F2964">
      <w:pPr>
        <w:pStyle w:val="Akapitzlist"/>
        <w:numPr>
          <w:ilvl w:val="0"/>
          <w:numId w:val="23"/>
        </w:numPr>
        <w:spacing w:after="0" w:line="360" w:lineRule="auto"/>
        <w:jc w:val="both"/>
        <w:outlineLvl w:val="0"/>
        <w:rPr>
          <w:rFonts w:ascii="Times New Roman" w:hAnsi="Times New Roman"/>
          <w:b/>
          <w:sz w:val="24"/>
          <w:szCs w:val="24"/>
          <w:lang w:val="en-US"/>
        </w:rPr>
      </w:pPr>
      <w:r w:rsidRPr="000F2964">
        <w:rPr>
          <w:rFonts w:ascii="Times New Roman" w:hAnsi="Times New Roman"/>
          <w:b/>
          <w:sz w:val="24"/>
          <w:szCs w:val="24"/>
          <w:lang w:val="en-US"/>
        </w:rPr>
        <w:t>Item 1.5.:</w:t>
      </w:r>
    </w:p>
    <w:p w:rsidR="001739D2" w:rsidRPr="002C216B" w:rsidRDefault="001739D2" w:rsidP="002C216B">
      <w:pPr>
        <w:pStyle w:val="Akapitzlist"/>
        <w:numPr>
          <w:ilvl w:val="0"/>
          <w:numId w:val="21"/>
        </w:numPr>
        <w:spacing w:after="0" w:line="360" w:lineRule="auto"/>
        <w:jc w:val="both"/>
        <w:outlineLvl w:val="0"/>
        <w:rPr>
          <w:rFonts w:ascii="Times New Roman" w:hAnsi="Times New Roman"/>
          <w:sz w:val="24"/>
          <w:szCs w:val="24"/>
          <w:u w:val="single"/>
          <w:lang w:val="en-US"/>
        </w:rPr>
      </w:pPr>
      <w:r w:rsidRPr="002C216B">
        <w:rPr>
          <w:rFonts w:ascii="Times New Roman" w:hAnsi="Times New Roman"/>
          <w:sz w:val="24"/>
          <w:szCs w:val="24"/>
          <w:u w:val="single"/>
          <w:lang w:val="en-US"/>
        </w:rPr>
        <w:t>the provision that currently reads:</w:t>
      </w:r>
    </w:p>
    <w:p w:rsidR="001739D2" w:rsidRPr="001739D2" w:rsidRDefault="001739D2" w:rsidP="001739D2">
      <w:pPr>
        <w:spacing w:after="0" w:line="360" w:lineRule="auto"/>
        <w:contextualSpacing/>
        <w:jc w:val="both"/>
        <w:outlineLvl w:val="0"/>
        <w:rPr>
          <w:rFonts w:ascii="Times New Roman" w:hAnsi="Times New Roman"/>
          <w:sz w:val="24"/>
          <w:szCs w:val="24"/>
          <w:lang w:val="en-US"/>
        </w:rPr>
      </w:pPr>
      <w:r>
        <w:rPr>
          <w:rFonts w:ascii="Times New Roman" w:hAnsi="Times New Roman"/>
          <w:sz w:val="24"/>
          <w:szCs w:val="24"/>
          <w:lang w:val="en-US"/>
        </w:rPr>
        <w:t>„</w:t>
      </w:r>
      <w:r w:rsidRPr="001739D2">
        <w:rPr>
          <w:rFonts w:ascii="Times New Roman" w:hAnsi="Times New Roman"/>
          <w:sz w:val="24"/>
          <w:szCs w:val="24"/>
          <w:lang w:val="en-US"/>
        </w:rPr>
        <w:t>The Contractor shall ensure availability of the System for the users (patrons, staff) at the level of 99.5% throughout the year.”</w:t>
      </w:r>
    </w:p>
    <w:p w:rsidR="001739D2" w:rsidRPr="001739D2" w:rsidRDefault="001739D2" w:rsidP="001739D2">
      <w:pPr>
        <w:spacing w:after="0" w:line="360" w:lineRule="auto"/>
        <w:contextualSpacing/>
        <w:jc w:val="both"/>
        <w:outlineLvl w:val="0"/>
        <w:rPr>
          <w:rFonts w:ascii="Times New Roman" w:hAnsi="Times New Roman"/>
          <w:sz w:val="24"/>
          <w:szCs w:val="24"/>
          <w:lang w:val="en-US"/>
        </w:rPr>
      </w:pPr>
    </w:p>
    <w:p w:rsidR="001739D2" w:rsidRPr="002C216B" w:rsidRDefault="001739D2" w:rsidP="002C216B">
      <w:pPr>
        <w:pStyle w:val="Akapitzlist"/>
        <w:numPr>
          <w:ilvl w:val="0"/>
          <w:numId w:val="21"/>
        </w:numPr>
        <w:spacing w:after="0" w:line="360" w:lineRule="auto"/>
        <w:jc w:val="both"/>
        <w:outlineLvl w:val="0"/>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1739D2" w:rsidRDefault="001739D2" w:rsidP="001739D2">
      <w:pPr>
        <w:spacing w:after="0" w:line="360" w:lineRule="auto"/>
        <w:contextualSpacing/>
        <w:jc w:val="both"/>
        <w:outlineLvl w:val="0"/>
        <w:rPr>
          <w:rFonts w:ascii="Times New Roman" w:hAnsi="Times New Roman"/>
          <w:sz w:val="24"/>
          <w:szCs w:val="24"/>
          <w:lang w:val="en-US"/>
        </w:rPr>
      </w:pPr>
      <w:r>
        <w:rPr>
          <w:rFonts w:ascii="Times New Roman" w:hAnsi="Times New Roman"/>
          <w:sz w:val="24"/>
          <w:szCs w:val="24"/>
          <w:lang w:val="en-US"/>
        </w:rPr>
        <w:t>„</w:t>
      </w:r>
      <w:r w:rsidRPr="001739D2">
        <w:rPr>
          <w:rFonts w:ascii="Times New Roman" w:hAnsi="Times New Roman"/>
          <w:sz w:val="24"/>
          <w:szCs w:val="24"/>
          <w:lang w:val="en-US"/>
        </w:rPr>
        <w:t>The Contractor shall ensure availability of the Syste</w:t>
      </w:r>
      <w:r>
        <w:rPr>
          <w:rFonts w:ascii="Times New Roman" w:hAnsi="Times New Roman"/>
          <w:sz w:val="24"/>
          <w:szCs w:val="24"/>
          <w:lang w:val="en-US"/>
        </w:rPr>
        <w:t>m for the users and patrons,</w:t>
      </w:r>
      <w:r w:rsidRPr="001739D2">
        <w:rPr>
          <w:rFonts w:ascii="Times New Roman" w:hAnsi="Times New Roman"/>
          <w:sz w:val="24"/>
          <w:szCs w:val="24"/>
          <w:lang w:val="en-US"/>
        </w:rPr>
        <w:t xml:space="preserve"> at the level of 99.5% throughout the year.”</w:t>
      </w:r>
    </w:p>
    <w:p w:rsidR="000F2964" w:rsidRDefault="000F2964" w:rsidP="001739D2">
      <w:pPr>
        <w:spacing w:after="0" w:line="360" w:lineRule="auto"/>
        <w:contextualSpacing/>
        <w:jc w:val="both"/>
        <w:outlineLvl w:val="0"/>
        <w:rPr>
          <w:rFonts w:ascii="Times New Roman" w:hAnsi="Times New Roman"/>
          <w:sz w:val="24"/>
          <w:szCs w:val="24"/>
          <w:lang w:val="en-US"/>
        </w:rPr>
      </w:pPr>
    </w:p>
    <w:p w:rsidR="001739D2" w:rsidRDefault="000F2964" w:rsidP="001739D2">
      <w:pPr>
        <w:spacing w:after="0" w:line="360" w:lineRule="auto"/>
        <w:contextualSpacing/>
        <w:jc w:val="both"/>
        <w:outlineLvl w:val="0"/>
        <w:rPr>
          <w:rFonts w:ascii="Times New Roman" w:hAnsi="Times New Roman"/>
          <w:sz w:val="24"/>
          <w:szCs w:val="24"/>
          <w:lang w:val="en-US"/>
        </w:rPr>
      </w:pPr>
      <w:r>
        <w:rPr>
          <w:rFonts w:ascii="Times New Roman" w:hAnsi="Times New Roman"/>
          <w:sz w:val="24"/>
          <w:szCs w:val="24"/>
          <w:lang w:val="en-US"/>
        </w:rPr>
        <w:lastRenderedPageBreak/>
        <w:t>[</w:t>
      </w:r>
      <w:r w:rsidRPr="000F2964">
        <w:rPr>
          <w:rFonts w:ascii="Times New Roman" w:hAnsi="Times New Roman"/>
          <w:sz w:val="24"/>
          <w:szCs w:val="24"/>
          <w:lang w:val="en-US"/>
        </w:rPr>
        <w:t>An analogous change is also introduced in</w:t>
      </w:r>
      <w:r>
        <w:rPr>
          <w:rFonts w:ascii="Times New Roman" w:hAnsi="Times New Roman"/>
          <w:sz w:val="24"/>
          <w:szCs w:val="24"/>
          <w:lang w:val="en-US"/>
        </w:rPr>
        <w:t xml:space="preserve"> “N</w:t>
      </w:r>
      <w:r w:rsidRPr="000F2964">
        <w:rPr>
          <w:rFonts w:ascii="Times New Roman" w:hAnsi="Times New Roman"/>
          <w:sz w:val="24"/>
          <w:szCs w:val="24"/>
          <w:lang w:val="en-US"/>
        </w:rPr>
        <w:t>otice for changes to tor and changes to contract notice and extension of time limit for submission of tenders and of date of opening of tenders</w:t>
      </w:r>
      <w:r>
        <w:rPr>
          <w:rFonts w:ascii="Times New Roman" w:hAnsi="Times New Roman"/>
          <w:sz w:val="24"/>
          <w:szCs w:val="24"/>
          <w:lang w:val="en-US"/>
        </w:rPr>
        <w:t xml:space="preserve">” </w:t>
      </w:r>
      <w:r w:rsidRPr="000F2964">
        <w:rPr>
          <w:rFonts w:ascii="Times New Roman" w:hAnsi="Times New Roman"/>
          <w:sz w:val="24"/>
          <w:szCs w:val="24"/>
          <w:lang w:val="en-US"/>
        </w:rPr>
        <w:t>published on</w:t>
      </w:r>
      <w:r>
        <w:rPr>
          <w:rFonts w:ascii="Times New Roman" w:hAnsi="Times New Roman"/>
          <w:sz w:val="24"/>
          <w:szCs w:val="24"/>
          <w:lang w:val="en-US"/>
        </w:rPr>
        <w:t xml:space="preserve"> 2017-11-16]</w:t>
      </w:r>
    </w:p>
    <w:p w:rsidR="001739D2" w:rsidRPr="002C216B" w:rsidRDefault="001739D2" w:rsidP="002C216B">
      <w:pPr>
        <w:pStyle w:val="Akapitzlist"/>
        <w:numPr>
          <w:ilvl w:val="0"/>
          <w:numId w:val="23"/>
        </w:numPr>
        <w:spacing w:after="0" w:line="360" w:lineRule="auto"/>
        <w:jc w:val="both"/>
        <w:outlineLvl w:val="0"/>
        <w:rPr>
          <w:rFonts w:ascii="Times New Roman" w:hAnsi="Times New Roman"/>
          <w:b/>
          <w:sz w:val="24"/>
          <w:szCs w:val="24"/>
          <w:lang w:val="en-US"/>
        </w:rPr>
      </w:pPr>
      <w:r w:rsidRPr="002C216B">
        <w:rPr>
          <w:rFonts w:ascii="Times New Roman" w:hAnsi="Times New Roman"/>
          <w:b/>
          <w:sz w:val="24"/>
          <w:szCs w:val="24"/>
          <w:lang w:val="en-US"/>
        </w:rPr>
        <w:t>Item 1.14.:</w:t>
      </w:r>
    </w:p>
    <w:p w:rsidR="00122E91" w:rsidRPr="002C216B" w:rsidRDefault="00403F34" w:rsidP="002C216B">
      <w:pPr>
        <w:pStyle w:val="Akapitzlist"/>
        <w:numPr>
          <w:ilvl w:val="0"/>
          <w:numId w:val="21"/>
        </w:numPr>
        <w:spacing w:after="0" w:line="360" w:lineRule="auto"/>
        <w:jc w:val="both"/>
        <w:rPr>
          <w:rFonts w:ascii="Times New Roman" w:hAnsi="Times New Roman"/>
          <w:sz w:val="24"/>
          <w:szCs w:val="24"/>
          <w:u w:val="single"/>
          <w:lang w:val="en-US"/>
        </w:rPr>
      </w:pPr>
      <w:r w:rsidRPr="002C216B">
        <w:rPr>
          <w:rFonts w:ascii="Times New Roman" w:hAnsi="Times New Roman"/>
          <w:sz w:val="24"/>
          <w:szCs w:val="24"/>
          <w:u w:val="single"/>
          <w:lang w:val="en-US"/>
        </w:rPr>
        <w:t>the provision that currently reads:</w:t>
      </w:r>
    </w:p>
    <w:p w:rsidR="00122E91" w:rsidRPr="00EB3A0F" w:rsidRDefault="001739D2" w:rsidP="00557000">
      <w:pPr>
        <w:spacing w:after="0" w:line="360" w:lineRule="auto"/>
        <w:jc w:val="both"/>
        <w:rPr>
          <w:rFonts w:ascii="Times New Roman" w:hAnsi="Times New Roman"/>
          <w:sz w:val="24"/>
          <w:szCs w:val="24"/>
          <w:lang w:val="en-US"/>
        </w:rPr>
      </w:pPr>
      <w:r>
        <w:rPr>
          <w:rFonts w:ascii="Times New Roman" w:hAnsi="Times New Roman"/>
          <w:sz w:val="24"/>
          <w:szCs w:val="24"/>
          <w:lang w:val="en-US"/>
        </w:rPr>
        <w:t>„</w:t>
      </w:r>
      <w:r w:rsidR="008029DB" w:rsidRPr="008029DB">
        <w:rPr>
          <w:rFonts w:ascii="Times New Roman" w:hAnsi="Times New Roman"/>
          <w:sz w:val="24"/>
          <w:szCs w:val="24"/>
          <w:lang w:val="en-US"/>
        </w:rPr>
        <w:t xml:space="preserve">The System shall support at least the following data exchange and communication standards and protocols: Z39.50, SRU, SRW, OAI-PMH, SIP2, </w:t>
      </w:r>
      <w:proofErr w:type="spellStart"/>
      <w:r w:rsidR="008029DB" w:rsidRPr="008029DB">
        <w:rPr>
          <w:rFonts w:ascii="Times New Roman" w:hAnsi="Times New Roman"/>
          <w:sz w:val="24"/>
          <w:szCs w:val="24"/>
          <w:lang w:val="en-US"/>
        </w:rPr>
        <w:t>OpenURL</w:t>
      </w:r>
      <w:proofErr w:type="spellEnd"/>
      <w:r w:rsidR="008029DB" w:rsidRPr="008029DB">
        <w:rPr>
          <w:rFonts w:ascii="Times New Roman" w:hAnsi="Times New Roman"/>
          <w:sz w:val="24"/>
          <w:szCs w:val="24"/>
          <w:lang w:val="en-US"/>
        </w:rPr>
        <w:t>, COUNTER, SUSHI.”</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F4151C" w:rsidRPr="002C216B" w:rsidRDefault="00F4151C" w:rsidP="002C216B">
      <w:pPr>
        <w:pStyle w:val="Akapitzlist"/>
        <w:numPr>
          <w:ilvl w:val="0"/>
          <w:numId w:val="21"/>
        </w:numPr>
        <w:spacing w:after="0" w:line="360" w:lineRule="auto"/>
        <w:jc w:val="both"/>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122E91" w:rsidRPr="00EB3A0F" w:rsidRDefault="001739D2" w:rsidP="00557000">
      <w:pPr>
        <w:spacing w:after="0" w:line="360" w:lineRule="auto"/>
        <w:jc w:val="both"/>
        <w:rPr>
          <w:rFonts w:ascii="Times New Roman" w:hAnsi="Times New Roman"/>
          <w:sz w:val="24"/>
          <w:szCs w:val="24"/>
          <w:lang w:val="en-US"/>
        </w:rPr>
      </w:pPr>
      <w:r>
        <w:rPr>
          <w:rFonts w:ascii="Times New Roman" w:hAnsi="Times New Roman"/>
          <w:sz w:val="24"/>
          <w:szCs w:val="24"/>
          <w:lang w:val="en-US"/>
        </w:rPr>
        <w:t>„</w:t>
      </w:r>
      <w:r w:rsidR="008029DB" w:rsidRPr="008029DB">
        <w:rPr>
          <w:rFonts w:ascii="Times New Roman" w:hAnsi="Times New Roman"/>
          <w:sz w:val="24"/>
          <w:szCs w:val="24"/>
          <w:lang w:val="en-US"/>
        </w:rPr>
        <w:t>The System shall support at least the following data exchange and communication standards and protocols: Z39.50, OAI-PMH.”</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DE0443" w:rsidRPr="002C216B" w:rsidRDefault="00DE0443" w:rsidP="002C216B">
      <w:pPr>
        <w:pStyle w:val="Akapitzlist"/>
        <w:numPr>
          <w:ilvl w:val="0"/>
          <w:numId w:val="24"/>
        </w:numPr>
        <w:spacing w:after="0" w:line="360" w:lineRule="auto"/>
        <w:jc w:val="both"/>
        <w:rPr>
          <w:rFonts w:ascii="Times New Roman" w:eastAsiaTheme="minorHAnsi" w:hAnsi="Times New Roman"/>
          <w:b/>
          <w:sz w:val="24"/>
          <w:szCs w:val="24"/>
          <w:u w:val="single"/>
          <w:lang w:val="en-US"/>
        </w:rPr>
      </w:pPr>
      <w:r w:rsidRPr="002C216B">
        <w:rPr>
          <w:rFonts w:ascii="Times New Roman" w:hAnsi="Times New Roman"/>
          <w:b/>
          <w:sz w:val="24"/>
          <w:szCs w:val="24"/>
          <w:u w:val="single"/>
          <w:lang w:val="en-US"/>
        </w:rPr>
        <w:t>In the Attachment no</w:t>
      </w:r>
      <w:r w:rsidR="001A7535">
        <w:rPr>
          <w:rFonts w:ascii="Times New Roman" w:hAnsi="Times New Roman"/>
          <w:b/>
          <w:sz w:val="24"/>
          <w:szCs w:val="24"/>
          <w:u w:val="single"/>
          <w:lang w:val="en-US"/>
        </w:rPr>
        <w:t>.</w:t>
      </w:r>
      <w:r w:rsidRPr="002C216B">
        <w:rPr>
          <w:rFonts w:ascii="Times New Roman" w:hAnsi="Times New Roman"/>
          <w:b/>
          <w:sz w:val="24"/>
          <w:szCs w:val="24"/>
          <w:u w:val="single"/>
          <w:lang w:val="en-US"/>
        </w:rPr>
        <w:t xml:space="preserve"> 2 to the </w:t>
      </w:r>
      <w:proofErr w:type="spellStart"/>
      <w:r w:rsidRPr="002C216B">
        <w:rPr>
          <w:rFonts w:ascii="Times New Roman" w:hAnsi="Times New Roman"/>
          <w:b/>
          <w:sz w:val="24"/>
          <w:szCs w:val="24"/>
          <w:u w:val="single"/>
          <w:lang w:val="en-US"/>
        </w:rPr>
        <w:t>ToR</w:t>
      </w:r>
      <w:proofErr w:type="spellEnd"/>
      <w:r w:rsidRPr="002C216B">
        <w:rPr>
          <w:rFonts w:ascii="Times New Roman" w:hAnsi="Times New Roman"/>
          <w:b/>
          <w:sz w:val="24"/>
          <w:szCs w:val="24"/>
          <w:u w:val="single"/>
          <w:lang w:val="en-US"/>
        </w:rPr>
        <w:t xml:space="preserve"> – Sample contract:</w:t>
      </w:r>
    </w:p>
    <w:p w:rsidR="00122E91" w:rsidRPr="00DE0443" w:rsidRDefault="00122E91" w:rsidP="00DE0443">
      <w:pPr>
        <w:spacing w:after="0" w:line="360" w:lineRule="auto"/>
        <w:jc w:val="both"/>
        <w:rPr>
          <w:rFonts w:ascii="Times New Roman" w:eastAsiaTheme="minorHAnsi" w:hAnsi="Times New Roman"/>
          <w:b/>
          <w:sz w:val="24"/>
          <w:szCs w:val="24"/>
          <w:u w:val="single"/>
          <w:lang w:val="en-US"/>
        </w:rPr>
      </w:pPr>
    </w:p>
    <w:p w:rsidR="00122E91" w:rsidRPr="002C216B" w:rsidRDefault="00EF1EC7" w:rsidP="002C216B">
      <w:pPr>
        <w:pStyle w:val="Akapitzlist"/>
        <w:numPr>
          <w:ilvl w:val="0"/>
          <w:numId w:val="22"/>
        </w:numPr>
        <w:spacing w:after="0" w:line="360" w:lineRule="auto"/>
        <w:jc w:val="both"/>
        <w:rPr>
          <w:rFonts w:ascii="Times New Roman" w:eastAsiaTheme="minorHAnsi" w:hAnsi="Times New Roman"/>
          <w:b/>
          <w:sz w:val="24"/>
          <w:szCs w:val="24"/>
        </w:rPr>
      </w:pPr>
      <w:proofErr w:type="spellStart"/>
      <w:r w:rsidRPr="002C216B">
        <w:rPr>
          <w:rFonts w:ascii="Times New Roman" w:hAnsi="Times New Roman"/>
          <w:b/>
          <w:sz w:val="24"/>
          <w:szCs w:val="24"/>
        </w:rPr>
        <w:t>Title</w:t>
      </w:r>
      <w:proofErr w:type="spellEnd"/>
      <w:r w:rsidRPr="002C216B">
        <w:rPr>
          <w:rFonts w:ascii="Times New Roman" w:hAnsi="Times New Roman"/>
          <w:b/>
          <w:sz w:val="24"/>
          <w:szCs w:val="24"/>
        </w:rPr>
        <w:t>:</w:t>
      </w:r>
    </w:p>
    <w:p w:rsidR="00EF1EC7" w:rsidRPr="002C216B" w:rsidRDefault="00EF1EC7" w:rsidP="002C216B">
      <w:pPr>
        <w:pStyle w:val="Akapitzlist"/>
        <w:numPr>
          <w:ilvl w:val="0"/>
          <w:numId w:val="21"/>
        </w:numPr>
        <w:spacing w:after="0" w:line="360" w:lineRule="auto"/>
        <w:jc w:val="both"/>
        <w:rPr>
          <w:rFonts w:ascii="Times New Roman" w:eastAsiaTheme="minorHAnsi" w:hAnsi="Times New Roman"/>
          <w:sz w:val="24"/>
          <w:szCs w:val="24"/>
          <w:u w:val="single"/>
          <w:lang w:val="en-US"/>
        </w:rPr>
      </w:pPr>
      <w:r w:rsidRPr="002C216B">
        <w:rPr>
          <w:rFonts w:ascii="Times New Roman" w:eastAsiaTheme="minorHAnsi" w:hAnsi="Times New Roman"/>
          <w:sz w:val="24"/>
          <w:szCs w:val="24"/>
          <w:u w:val="single"/>
          <w:lang w:val="en-US"/>
        </w:rPr>
        <w:t>the provision that currently reads:</w:t>
      </w:r>
    </w:p>
    <w:p w:rsidR="00EF1EC7" w:rsidRDefault="00EF1EC7" w:rsidP="00EF1EC7">
      <w:pPr>
        <w:spacing w:after="0" w:line="360" w:lineRule="auto"/>
        <w:jc w:val="both"/>
        <w:rPr>
          <w:rFonts w:ascii="Times New Roman" w:eastAsiaTheme="minorHAnsi" w:hAnsi="Times New Roman"/>
          <w:sz w:val="24"/>
          <w:szCs w:val="24"/>
          <w:lang w:val="en-US"/>
        </w:rPr>
      </w:pPr>
      <w:r w:rsidRPr="00EF1EC7">
        <w:rPr>
          <w:rFonts w:ascii="Times New Roman" w:eastAsiaTheme="minorHAnsi" w:hAnsi="Times New Roman"/>
          <w:sz w:val="24"/>
          <w:szCs w:val="24"/>
          <w:lang w:val="en-US"/>
        </w:rPr>
        <w:t>“</w:t>
      </w:r>
      <w:r w:rsidR="00AE7F23" w:rsidRPr="00AE7F23">
        <w:rPr>
          <w:rFonts w:ascii="Times New Roman" w:eastAsiaTheme="minorHAnsi" w:hAnsi="Times New Roman"/>
          <w:sz w:val="24"/>
          <w:szCs w:val="24"/>
          <w:lang w:val="en-US"/>
        </w:rPr>
        <w:t>Sample contract - Attachment no. 2 to the Terms of Reference</w:t>
      </w:r>
      <w:r w:rsidRPr="00EF1EC7">
        <w:rPr>
          <w:rFonts w:ascii="Times New Roman" w:eastAsiaTheme="minorHAnsi" w:hAnsi="Times New Roman"/>
          <w:sz w:val="24"/>
          <w:szCs w:val="24"/>
          <w:lang w:val="en-US"/>
        </w:rPr>
        <w:t>”</w:t>
      </w:r>
    </w:p>
    <w:p w:rsidR="002C216B" w:rsidRPr="00EF1EC7" w:rsidRDefault="002C216B" w:rsidP="00EF1EC7">
      <w:pPr>
        <w:spacing w:after="0" w:line="360" w:lineRule="auto"/>
        <w:jc w:val="both"/>
        <w:rPr>
          <w:rFonts w:ascii="Times New Roman" w:eastAsiaTheme="minorHAnsi" w:hAnsi="Times New Roman"/>
          <w:sz w:val="24"/>
          <w:szCs w:val="24"/>
          <w:lang w:val="en-US"/>
        </w:rPr>
      </w:pPr>
    </w:p>
    <w:p w:rsidR="00EF1EC7" w:rsidRPr="002C216B" w:rsidRDefault="00EF1EC7" w:rsidP="002C216B">
      <w:pPr>
        <w:pStyle w:val="Akapitzlist"/>
        <w:numPr>
          <w:ilvl w:val="0"/>
          <w:numId w:val="21"/>
        </w:numPr>
        <w:spacing w:after="0" w:line="360" w:lineRule="auto"/>
        <w:jc w:val="both"/>
        <w:rPr>
          <w:rFonts w:ascii="Times New Roman" w:eastAsiaTheme="minorHAnsi" w:hAnsi="Times New Roman"/>
          <w:sz w:val="24"/>
          <w:szCs w:val="24"/>
          <w:u w:val="single"/>
          <w:lang w:val="en-US"/>
        </w:rPr>
      </w:pPr>
      <w:r w:rsidRPr="002C216B">
        <w:rPr>
          <w:rFonts w:ascii="Times New Roman" w:eastAsiaTheme="minorHAnsi" w:hAnsi="Times New Roman"/>
          <w:sz w:val="24"/>
          <w:szCs w:val="24"/>
          <w:u w:val="single"/>
          <w:lang w:val="en-US"/>
        </w:rPr>
        <w:t>shall now be read as follows:</w:t>
      </w:r>
    </w:p>
    <w:p w:rsidR="00EF1EC7" w:rsidRDefault="00FB1A2B" w:rsidP="00EF1EC7">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“Draft C</w:t>
      </w:r>
      <w:r w:rsidR="00EF1EC7" w:rsidRPr="00EF1EC7">
        <w:rPr>
          <w:rFonts w:ascii="Times New Roman" w:eastAsiaTheme="minorHAnsi" w:hAnsi="Times New Roman"/>
          <w:sz w:val="24"/>
          <w:szCs w:val="24"/>
          <w:lang w:val="en-US"/>
        </w:rPr>
        <w:t>ontract</w:t>
      </w:r>
      <w:r w:rsidR="00AE7F23" w:rsidRPr="00AE7F23">
        <w:rPr>
          <w:rFonts w:ascii="Times New Roman" w:eastAsiaTheme="minorHAnsi" w:hAnsi="Times New Roman"/>
          <w:sz w:val="24"/>
          <w:szCs w:val="24"/>
          <w:lang w:val="en-US"/>
        </w:rPr>
        <w:t xml:space="preserve"> - Attachment no. 2 to the Terms of Reference</w:t>
      </w:r>
      <w:r w:rsidR="00EF1EC7" w:rsidRPr="00EF1EC7">
        <w:rPr>
          <w:rFonts w:ascii="Times New Roman" w:eastAsiaTheme="minorHAnsi" w:hAnsi="Times New Roman"/>
          <w:sz w:val="24"/>
          <w:szCs w:val="24"/>
          <w:lang w:val="en-US"/>
        </w:rPr>
        <w:t>”</w:t>
      </w:r>
    </w:p>
    <w:p w:rsidR="002C216B" w:rsidRPr="00EF1EC7" w:rsidRDefault="002C216B" w:rsidP="00EF1EC7">
      <w:pPr>
        <w:spacing w:after="0" w:line="360" w:lineRule="auto"/>
        <w:jc w:val="both"/>
        <w:rPr>
          <w:rFonts w:ascii="Times New Roman" w:eastAsiaTheme="minorHAnsi" w:hAnsi="Times New Roman"/>
          <w:sz w:val="24"/>
          <w:szCs w:val="24"/>
          <w:lang w:val="en-US"/>
        </w:rPr>
      </w:pPr>
    </w:p>
    <w:p w:rsidR="00EF1EC7" w:rsidRPr="002C216B" w:rsidRDefault="00EF1EC7" w:rsidP="002C216B">
      <w:pPr>
        <w:pStyle w:val="Akapitzlist"/>
        <w:numPr>
          <w:ilvl w:val="0"/>
          <w:numId w:val="22"/>
        </w:numPr>
        <w:spacing w:after="0" w:line="360" w:lineRule="auto"/>
        <w:jc w:val="both"/>
        <w:rPr>
          <w:rFonts w:ascii="Times New Roman" w:eastAsiaTheme="minorHAnsi" w:hAnsi="Times New Roman"/>
          <w:b/>
          <w:sz w:val="24"/>
          <w:szCs w:val="24"/>
        </w:rPr>
      </w:pPr>
      <w:r w:rsidRPr="002C216B">
        <w:rPr>
          <w:rFonts w:ascii="Times New Roman" w:eastAsiaTheme="minorHAnsi" w:hAnsi="Times New Roman"/>
          <w:b/>
          <w:sz w:val="24"/>
          <w:szCs w:val="24"/>
        </w:rPr>
        <w:t xml:space="preserve">§1 </w:t>
      </w:r>
      <w:proofErr w:type="spellStart"/>
      <w:r w:rsidRPr="002C216B">
        <w:rPr>
          <w:rFonts w:ascii="Times New Roman" w:eastAsiaTheme="minorHAnsi" w:hAnsi="Times New Roman"/>
          <w:b/>
          <w:sz w:val="24"/>
          <w:szCs w:val="24"/>
        </w:rPr>
        <w:t>Item</w:t>
      </w:r>
      <w:proofErr w:type="spellEnd"/>
      <w:r w:rsidRPr="002C216B">
        <w:rPr>
          <w:rFonts w:ascii="Times New Roman" w:eastAsiaTheme="minorHAnsi" w:hAnsi="Times New Roman"/>
          <w:b/>
          <w:sz w:val="24"/>
          <w:szCs w:val="24"/>
        </w:rPr>
        <w:t xml:space="preserve"> 13</w:t>
      </w:r>
      <w:r w:rsidR="002C216B">
        <w:rPr>
          <w:rFonts w:ascii="Times New Roman" w:eastAsiaTheme="minorHAnsi" w:hAnsi="Times New Roman"/>
          <w:b/>
          <w:sz w:val="24"/>
          <w:szCs w:val="24"/>
        </w:rPr>
        <w:t>:</w:t>
      </w:r>
    </w:p>
    <w:p w:rsidR="00122E91" w:rsidRPr="002C216B" w:rsidRDefault="00403F34" w:rsidP="002C216B">
      <w:pPr>
        <w:pStyle w:val="Akapitzlist"/>
        <w:numPr>
          <w:ilvl w:val="0"/>
          <w:numId w:val="21"/>
        </w:numPr>
        <w:spacing w:after="0" w:line="360" w:lineRule="auto"/>
        <w:jc w:val="both"/>
        <w:rPr>
          <w:rFonts w:ascii="Times New Roman" w:eastAsiaTheme="minorHAnsi" w:hAnsi="Times New Roman"/>
          <w:sz w:val="24"/>
          <w:szCs w:val="24"/>
          <w:lang w:val="en-US"/>
        </w:rPr>
      </w:pPr>
      <w:r w:rsidRPr="002C216B">
        <w:rPr>
          <w:rFonts w:ascii="Times New Roman" w:eastAsiaTheme="minorHAnsi" w:hAnsi="Times New Roman"/>
          <w:sz w:val="24"/>
          <w:szCs w:val="24"/>
          <w:u w:val="single"/>
          <w:lang w:val="en-US"/>
        </w:rPr>
        <w:t>the provision that currently reads:</w:t>
      </w:r>
    </w:p>
    <w:p w:rsidR="00122E91" w:rsidRPr="00EB3A0F" w:rsidRDefault="009B0AA6" w:rsidP="00557000">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r w:rsidR="00EF1EC7" w:rsidRPr="00EF1EC7">
        <w:rPr>
          <w:rFonts w:ascii="Times New Roman" w:eastAsiaTheme="minorHAnsi" w:hAnsi="Times New Roman"/>
          <w:sz w:val="24"/>
          <w:szCs w:val="24"/>
          <w:lang w:val="en-US"/>
        </w:rPr>
        <w:t>Contract – shall mean this con</w:t>
      </w:r>
      <w:r w:rsidR="00EF1EC7">
        <w:rPr>
          <w:rFonts w:ascii="Times New Roman" w:eastAsiaTheme="minorHAnsi" w:hAnsi="Times New Roman"/>
          <w:sz w:val="24"/>
          <w:szCs w:val="24"/>
          <w:lang w:val="en-US"/>
        </w:rPr>
        <w:t>tract along with the attachment</w:t>
      </w:r>
      <w:r w:rsidR="00EF1EC7" w:rsidRPr="00EF1EC7">
        <w:rPr>
          <w:rFonts w:ascii="Times New Roman" w:eastAsiaTheme="minorHAnsi" w:hAnsi="Times New Roman"/>
          <w:sz w:val="24"/>
          <w:szCs w:val="24"/>
          <w:lang w:val="en-US"/>
        </w:rPr>
        <w:t xml:space="preserve"> thereto, which shall constitute its integral part.</w:t>
      </w:r>
      <w:r w:rsidR="00122E91" w:rsidRPr="00EB3A0F">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4D4D23" w:rsidRPr="002C216B" w:rsidRDefault="004D4D23" w:rsidP="002C216B">
      <w:pPr>
        <w:pStyle w:val="Akapitzlist"/>
        <w:numPr>
          <w:ilvl w:val="0"/>
          <w:numId w:val="21"/>
        </w:numPr>
        <w:spacing w:after="0" w:line="360" w:lineRule="auto"/>
        <w:jc w:val="both"/>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122E91" w:rsidRPr="00EB3A0F" w:rsidRDefault="009B0AA6" w:rsidP="00557000">
      <w:pPr>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r w:rsidR="00EF1EC7" w:rsidRPr="00EF1EC7">
        <w:rPr>
          <w:rFonts w:ascii="Times New Roman" w:eastAsiaTheme="minorHAnsi" w:hAnsi="Times New Roman"/>
          <w:sz w:val="24"/>
          <w:szCs w:val="24"/>
          <w:lang w:val="en-US"/>
        </w:rPr>
        <w:t>Contract – shall mean this contract along with the attachments thereto, which shall constitute its integral part.</w:t>
      </w:r>
      <w:r>
        <w:rPr>
          <w:rFonts w:ascii="Times New Roman" w:eastAsiaTheme="minorHAnsi"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lang w:val="en-US"/>
        </w:rPr>
      </w:pPr>
    </w:p>
    <w:p w:rsidR="00122E91" w:rsidRPr="002C216B" w:rsidRDefault="00EF1EC7" w:rsidP="002C216B">
      <w:pPr>
        <w:pStyle w:val="Akapitzlist"/>
        <w:numPr>
          <w:ilvl w:val="0"/>
          <w:numId w:val="22"/>
        </w:numPr>
        <w:spacing w:after="0" w:line="360" w:lineRule="auto"/>
        <w:jc w:val="both"/>
        <w:rPr>
          <w:rFonts w:ascii="Times New Roman" w:eastAsiaTheme="minorHAnsi" w:hAnsi="Times New Roman"/>
          <w:b/>
          <w:sz w:val="24"/>
          <w:szCs w:val="24"/>
        </w:rPr>
      </w:pPr>
      <w:r w:rsidRPr="002C216B">
        <w:rPr>
          <w:rFonts w:ascii="Times New Roman" w:hAnsi="Times New Roman"/>
          <w:b/>
          <w:sz w:val="24"/>
          <w:szCs w:val="24"/>
        </w:rPr>
        <w:lastRenderedPageBreak/>
        <w:t>§3</w:t>
      </w:r>
      <w:r w:rsidR="00122E91" w:rsidRPr="002C216B">
        <w:rPr>
          <w:rFonts w:ascii="Times New Roman" w:hAnsi="Times New Roman"/>
          <w:b/>
          <w:sz w:val="24"/>
          <w:szCs w:val="24"/>
        </w:rPr>
        <w:t xml:space="preserve"> </w:t>
      </w:r>
      <w:proofErr w:type="spellStart"/>
      <w:r w:rsidR="00CC137E" w:rsidRPr="002C216B">
        <w:rPr>
          <w:rFonts w:ascii="Times New Roman" w:hAnsi="Times New Roman"/>
          <w:b/>
          <w:sz w:val="24"/>
          <w:szCs w:val="24"/>
        </w:rPr>
        <w:t>Section</w:t>
      </w:r>
      <w:proofErr w:type="spellEnd"/>
      <w:r w:rsidRPr="002C216B">
        <w:rPr>
          <w:rFonts w:ascii="Times New Roman" w:hAnsi="Times New Roman"/>
          <w:b/>
          <w:sz w:val="24"/>
          <w:szCs w:val="24"/>
        </w:rPr>
        <w:t xml:space="preserve"> 1</w:t>
      </w:r>
      <w:r w:rsidR="00122E91" w:rsidRPr="002C216B">
        <w:rPr>
          <w:rFonts w:ascii="Times New Roman" w:hAnsi="Times New Roman"/>
          <w:b/>
          <w:sz w:val="24"/>
          <w:szCs w:val="24"/>
        </w:rPr>
        <w:t>:</w:t>
      </w:r>
    </w:p>
    <w:p w:rsidR="00122E91" w:rsidRPr="002C216B" w:rsidRDefault="00403F34" w:rsidP="002C216B">
      <w:pPr>
        <w:pStyle w:val="Akapitzlist"/>
        <w:numPr>
          <w:ilvl w:val="0"/>
          <w:numId w:val="21"/>
        </w:numPr>
        <w:spacing w:after="0" w:line="360" w:lineRule="auto"/>
        <w:jc w:val="both"/>
        <w:rPr>
          <w:rFonts w:ascii="Times New Roman" w:eastAsiaTheme="minorHAnsi" w:hAnsi="Times New Roman"/>
          <w:sz w:val="24"/>
          <w:szCs w:val="24"/>
          <w:lang w:val="en-US"/>
        </w:rPr>
      </w:pPr>
      <w:r w:rsidRPr="002C216B">
        <w:rPr>
          <w:rFonts w:ascii="Times New Roman" w:eastAsiaTheme="minorHAnsi" w:hAnsi="Times New Roman"/>
          <w:sz w:val="24"/>
          <w:szCs w:val="24"/>
          <w:u w:val="single"/>
          <w:lang w:val="en-US"/>
        </w:rPr>
        <w:t>the provision that currently reads:</w:t>
      </w:r>
    </w:p>
    <w:p w:rsidR="00EF1EC7" w:rsidRPr="00EF1EC7" w:rsidRDefault="00122E91" w:rsidP="00EF1EC7">
      <w:pPr>
        <w:spacing w:after="0" w:line="360" w:lineRule="auto"/>
        <w:contextualSpacing/>
        <w:jc w:val="both"/>
        <w:rPr>
          <w:rFonts w:ascii="Times New Roman" w:hAnsi="Times New Roman"/>
          <w:sz w:val="24"/>
          <w:szCs w:val="24"/>
          <w:lang w:val="en-US"/>
        </w:rPr>
      </w:pPr>
      <w:r w:rsidRPr="00EB3A0F">
        <w:rPr>
          <w:rFonts w:ascii="Times New Roman" w:hAnsi="Times New Roman"/>
          <w:sz w:val="24"/>
          <w:szCs w:val="24"/>
          <w:lang w:val="en-US"/>
        </w:rPr>
        <w:t>„</w:t>
      </w:r>
      <w:r w:rsidR="00EF1EC7" w:rsidRPr="00EF1EC7">
        <w:rPr>
          <w:rFonts w:ascii="Times New Roman" w:hAnsi="Times New Roman"/>
          <w:sz w:val="24"/>
          <w:szCs w:val="24"/>
          <w:lang w:val="en-US"/>
        </w:rPr>
        <w:t>The Contractor shall perform the Object of the Contract referred to in Clause 2 above in the period from the date of signing of this Contract until 30 September 2024, in accordance with the following time schedule:</w:t>
      </w:r>
    </w:p>
    <w:p w:rsidR="00EF1EC7" w:rsidRPr="00EF1EC7" w:rsidRDefault="00EF1EC7" w:rsidP="00EF1EC7">
      <w:pPr>
        <w:spacing w:after="0" w:line="360" w:lineRule="auto"/>
        <w:contextualSpacing/>
        <w:jc w:val="both"/>
        <w:rPr>
          <w:rFonts w:ascii="Times New Roman" w:hAnsi="Times New Roman"/>
          <w:sz w:val="24"/>
          <w:szCs w:val="24"/>
          <w:lang w:val="en-US"/>
        </w:rPr>
      </w:pP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1)</w:t>
      </w:r>
      <w:r w:rsidRPr="00EF1EC7">
        <w:rPr>
          <w:rFonts w:ascii="Times New Roman" w:hAnsi="Times New Roman"/>
          <w:sz w:val="24"/>
          <w:szCs w:val="24"/>
          <w:lang w:val="en-US"/>
        </w:rPr>
        <w:tab/>
        <w:t xml:space="preserve">Phase I – on or before 30 June 2018 </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Scope of the phase:</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delivery of the Technical Documentation and User Documentation for the System</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b)</w:t>
      </w:r>
      <w:r w:rsidRPr="00EF1EC7">
        <w:rPr>
          <w:rFonts w:ascii="Times New Roman" w:hAnsi="Times New Roman"/>
          <w:sz w:val="24"/>
          <w:szCs w:val="24"/>
          <w:lang w:val="en-US"/>
        </w:rPr>
        <w:tab/>
        <w:t>training of System administrators</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c)</w:t>
      </w:r>
      <w:r w:rsidRPr="00EF1EC7">
        <w:rPr>
          <w:rFonts w:ascii="Times New Roman" w:hAnsi="Times New Roman"/>
          <w:sz w:val="24"/>
          <w:szCs w:val="24"/>
          <w:lang w:val="en-US"/>
        </w:rPr>
        <w:tab/>
        <w:t>delivery and configuration of the System</w:t>
      </w:r>
    </w:p>
    <w:p w:rsidR="00EF1EC7" w:rsidRPr="00EF1EC7" w:rsidRDefault="00EF1EC7" w:rsidP="00EF1EC7">
      <w:pPr>
        <w:spacing w:after="0" w:line="360" w:lineRule="auto"/>
        <w:contextualSpacing/>
        <w:jc w:val="both"/>
        <w:rPr>
          <w:rFonts w:ascii="Times New Roman" w:hAnsi="Times New Roman"/>
          <w:sz w:val="24"/>
          <w:szCs w:val="24"/>
          <w:lang w:val="en-US"/>
        </w:rPr>
      </w:pP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2)</w:t>
      </w:r>
      <w:r w:rsidRPr="00EF1EC7">
        <w:rPr>
          <w:rFonts w:ascii="Times New Roman" w:hAnsi="Times New Roman"/>
          <w:sz w:val="24"/>
          <w:szCs w:val="24"/>
          <w:lang w:val="en-US"/>
        </w:rPr>
        <w:tab/>
        <w:t>Phase II – on or before 31 December 2018</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Scope of the phase:</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preparation of tools for data migration and data upload</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b)</w:t>
      </w:r>
      <w:r w:rsidRPr="00EF1EC7">
        <w:rPr>
          <w:rFonts w:ascii="Times New Roman" w:hAnsi="Times New Roman"/>
          <w:sz w:val="24"/>
          <w:szCs w:val="24"/>
          <w:lang w:val="en-US"/>
        </w:rPr>
        <w:tab/>
        <w:t>migration of data of the National Library</w:t>
      </w:r>
    </w:p>
    <w:p w:rsidR="00EF1EC7" w:rsidRPr="00EF1EC7" w:rsidRDefault="00EF1EC7" w:rsidP="00EF1EC7">
      <w:pPr>
        <w:spacing w:after="0" w:line="360" w:lineRule="auto"/>
        <w:contextualSpacing/>
        <w:jc w:val="both"/>
        <w:rPr>
          <w:rFonts w:ascii="Times New Roman" w:hAnsi="Times New Roman"/>
          <w:sz w:val="24"/>
          <w:szCs w:val="24"/>
          <w:lang w:val="en-US"/>
        </w:rPr>
      </w:pP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3)</w:t>
      </w:r>
      <w:r w:rsidRPr="00EF1EC7">
        <w:rPr>
          <w:rFonts w:ascii="Times New Roman" w:hAnsi="Times New Roman"/>
          <w:sz w:val="24"/>
          <w:szCs w:val="24"/>
          <w:lang w:val="en-US"/>
        </w:rPr>
        <w:tab/>
        <w:t>Phase III – on or before 14 August 2019</w:t>
      </w:r>
    </w:p>
    <w:p w:rsidR="00EF1EC7" w:rsidRPr="00EF1EC7" w:rsidRDefault="00EF1EC7" w:rsidP="00EF1EC7">
      <w:pPr>
        <w:spacing w:after="0" w:line="360" w:lineRule="auto"/>
        <w:contextualSpacing/>
        <w:jc w:val="both"/>
        <w:rPr>
          <w:rFonts w:ascii="Times New Roman" w:hAnsi="Times New Roman"/>
          <w:sz w:val="24"/>
          <w:szCs w:val="24"/>
          <w:lang w:val="en-US"/>
        </w:rPr>
      </w:pPr>
      <w:r w:rsidRPr="00EF1EC7">
        <w:rPr>
          <w:rFonts w:ascii="Times New Roman" w:hAnsi="Times New Roman"/>
          <w:sz w:val="24"/>
          <w:szCs w:val="24"/>
          <w:lang w:val="en-US"/>
        </w:rPr>
        <w:t xml:space="preserve">Scope of the phase: </w:t>
      </w:r>
    </w:p>
    <w:p w:rsidR="00122E91" w:rsidRPr="00EB3A0F" w:rsidRDefault="00EF1EC7" w:rsidP="00EF1EC7">
      <w:pPr>
        <w:spacing w:after="0" w:line="360" w:lineRule="auto"/>
        <w:contextualSpacing/>
        <w:jc w:val="both"/>
        <w:rPr>
          <w:rFonts w:ascii="Times New Roman" w:eastAsiaTheme="minorHAnsi"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implementation of the System at the libraries indicated by the National Library, in accordance with the DOC that constitutes Attachment no. 2 to the Contract.</w:t>
      </w:r>
      <w:r w:rsidR="00122E91" w:rsidRPr="00EB3A0F">
        <w:rPr>
          <w:rFonts w:ascii="Times New Roman" w:hAnsi="Times New Roman"/>
          <w:sz w:val="24"/>
          <w:szCs w:val="24"/>
          <w:lang w:val="en-US"/>
        </w:rPr>
        <w:t>”</w:t>
      </w:r>
    </w:p>
    <w:p w:rsidR="00122E91" w:rsidRPr="00EB3A0F" w:rsidRDefault="00122E91" w:rsidP="00557000">
      <w:pPr>
        <w:spacing w:after="0" w:line="360" w:lineRule="auto"/>
        <w:jc w:val="both"/>
        <w:rPr>
          <w:rFonts w:ascii="Times New Roman" w:eastAsiaTheme="minorHAnsi" w:hAnsi="Times New Roman"/>
          <w:sz w:val="24"/>
          <w:szCs w:val="24"/>
          <w:u w:val="single"/>
          <w:lang w:val="en-US"/>
        </w:rPr>
      </w:pPr>
    </w:p>
    <w:p w:rsidR="004D4D23" w:rsidRPr="002C216B" w:rsidRDefault="004D4D23" w:rsidP="002C216B">
      <w:pPr>
        <w:pStyle w:val="Akapitzlist"/>
        <w:numPr>
          <w:ilvl w:val="0"/>
          <w:numId w:val="21"/>
        </w:numPr>
        <w:spacing w:after="0" w:line="360" w:lineRule="auto"/>
        <w:jc w:val="both"/>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EF1EC7" w:rsidRPr="00EF1EC7" w:rsidRDefault="00122E91" w:rsidP="00EF1EC7">
      <w:pPr>
        <w:spacing w:after="0" w:line="360" w:lineRule="auto"/>
        <w:jc w:val="both"/>
        <w:rPr>
          <w:rFonts w:ascii="Times New Roman" w:hAnsi="Times New Roman"/>
          <w:sz w:val="24"/>
          <w:szCs w:val="24"/>
          <w:lang w:val="en-US"/>
        </w:rPr>
      </w:pPr>
      <w:r w:rsidRPr="00EB3A0F">
        <w:rPr>
          <w:rFonts w:ascii="Times New Roman" w:hAnsi="Times New Roman"/>
          <w:sz w:val="24"/>
          <w:szCs w:val="24"/>
          <w:lang w:val="en-US"/>
        </w:rPr>
        <w:t>„</w:t>
      </w:r>
      <w:r w:rsidR="00EF1EC7" w:rsidRPr="00EF1EC7">
        <w:rPr>
          <w:rFonts w:ascii="Times New Roman" w:hAnsi="Times New Roman"/>
          <w:sz w:val="24"/>
          <w:szCs w:val="24"/>
          <w:lang w:val="en-US"/>
        </w:rPr>
        <w:t>The Contractor shall perform the Object of the Contract referred to in Clause 2 above in the period from the date of signing of this Contract until 30 September 2024, in accordance with the following time schedule:</w:t>
      </w:r>
    </w:p>
    <w:p w:rsidR="00EF1EC7" w:rsidRPr="00EF1EC7" w:rsidRDefault="00EF1EC7" w:rsidP="00EF1EC7">
      <w:pPr>
        <w:spacing w:after="0" w:line="360" w:lineRule="auto"/>
        <w:jc w:val="both"/>
        <w:rPr>
          <w:rFonts w:ascii="Times New Roman" w:hAnsi="Times New Roman"/>
          <w:sz w:val="24"/>
          <w:szCs w:val="24"/>
          <w:lang w:val="en-US"/>
        </w:rPr>
      </w:pP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1)</w:t>
      </w:r>
      <w:r w:rsidRPr="00EF1EC7">
        <w:rPr>
          <w:rFonts w:ascii="Times New Roman" w:hAnsi="Times New Roman"/>
          <w:sz w:val="24"/>
          <w:szCs w:val="24"/>
          <w:lang w:val="en-US"/>
        </w:rPr>
        <w:tab/>
        <w:t>Phas</w:t>
      </w:r>
      <w:r>
        <w:rPr>
          <w:rFonts w:ascii="Times New Roman" w:hAnsi="Times New Roman"/>
          <w:sz w:val="24"/>
          <w:szCs w:val="24"/>
          <w:lang w:val="en-US"/>
        </w:rPr>
        <w:t xml:space="preserve">e I – </w:t>
      </w:r>
      <w:r w:rsidRPr="00EF1EC7">
        <w:rPr>
          <w:rFonts w:ascii="Times New Roman" w:hAnsi="Times New Roman"/>
          <w:sz w:val="24"/>
          <w:szCs w:val="24"/>
          <w:lang w:val="en-US"/>
        </w:rPr>
        <w:t xml:space="preserve">by 30 June 2018 at the latest </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Scope of the phase:</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delivery of the Technical Documentation and User Documentation for the System</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b)</w:t>
      </w:r>
      <w:r w:rsidRPr="00EF1EC7">
        <w:rPr>
          <w:rFonts w:ascii="Times New Roman" w:hAnsi="Times New Roman"/>
          <w:sz w:val="24"/>
          <w:szCs w:val="24"/>
          <w:lang w:val="en-US"/>
        </w:rPr>
        <w:tab/>
        <w:t>training of System administrators</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lastRenderedPageBreak/>
        <w:t>c)</w:t>
      </w:r>
      <w:r w:rsidRPr="00EF1EC7">
        <w:rPr>
          <w:rFonts w:ascii="Times New Roman" w:hAnsi="Times New Roman"/>
          <w:sz w:val="24"/>
          <w:szCs w:val="24"/>
          <w:lang w:val="en-US"/>
        </w:rPr>
        <w:tab/>
        <w:t>delivery and configuration of the System</w:t>
      </w:r>
    </w:p>
    <w:p w:rsidR="00EF1EC7" w:rsidRPr="00EF1EC7" w:rsidRDefault="00EF1EC7" w:rsidP="00EF1EC7">
      <w:pPr>
        <w:spacing w:after="0" w:line="360" w:lineRule="auto"/>
        <w:jc w:val="both"/>
        <w:rPr>
          <w:rFonts w:ascii="Times New Roman" w:hAnsi="Times New Roman"/>
          <w:sz w:val="24"/>
          <w:szCs w:val="24"/>
          <w:lang w:val="en-US"/>
        </w:rPr>
      </w:pP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2)</w:t>
      </w:r>
      <w:r w:rsidRPr="00EF1EC7">
        <w:rPr>
          <w:rFonts w:ascii="Times New Roman" w:hAnsi="Times New Roman"/>
          <w:sz w:val="24"/>
          <w:szCs w:val="24"/>
          <w:lang w:val="en-US"/>
        </w:rPr>
        <w:tab/>
        <w:t>Phase II – by 31 December 2018</w:t>
      </w:r>
      <w:r>
        <w:rPr>
          <w:rFonts w:ascii="Times New Roman" w:hAnsi="Times New Roman"/>
          <w:sz w:val="24"/>
          <w:szCs w:val="24"/>
          <w:lang w:val="en-US"/>
        </w:rPr>
        <w:t xml:space="preserve"> </w:t>
      </w:r>
      <w:r w:rsidRPr="00EF1EC7">
        <w:rPr>
          <w:rFonts w:ascii="Times New Roman" w:hAnsi="Times New Roman"/>
          <w:sz w:val="24"/>
          <w:szCs w:val="24"/>
          <w:lang w:val="en-US"/>
        </w:rPr>
        <w:t>at the latest</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Scope of the phase:</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preparation of tools for data migration and data upload</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b)</w:t>
      </w:r>
      <w:r w:rsidRPr="00EF1EC7">
        <w:rPr>
          <w:rFonts w:ascii="Times New Roman" w:hAnsi="Times New Roman"/>
          <w:sz w:val="24"/>
          <w:szCs w:val="24"/>
          <w:lang w:val="en-US"/>
        </w:rPr>
        <w:tab/>
        <w:t>migration of data of the National Library</w:t>
      </w:r>
    </w:p>
    <w:p w:rsidR="00EF1EC7" w:rsidRPr="00EF1EC7" w:rsidRDefault="00EF1EC7" w:rsidP="00EF1EC7">
      <w:pPr>
        <w:spacing w:after="0" w:line="360" w:lineRule="auto"/>
        <w:jc w:val="both"/>
        <w:rPr>
          <w:rFonts w:ascii="Times New Roman" w:hAnsi="Times New Roman"/>
          <w:sz w:val="24"/>
          <w:szCs w:val="24"/>
          <w:lang w:val="en-US"/>
        </w:rPr>
      </w:pP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3)</w:t>
      </w:r>
      <w:r w:rsidRPr="00EF1EC7">
        <w:rPr>
          <w:rFonts w:ascii="Times New Roman" w:hAnsi="Times New Roman"/>
          <w:sz w:val="24"/>
          <w:szCs w:val="24"/>
          <w:lang w:val="en-US"/>
        </w:rPr>
        <w:tab/>
        <w:t>Phase III – by 14 August 2019</w:t>
      </w:r>
      <w:r>
        <w:rPr>
          <w:rFonts w:ascii="Times New Roman" w:hAnsi="Times New Roman"/>
          <w:sz w:val="24"/>
          <w:szCs w:val="24"/>
          <w:lang w:val="en-US"/>
        </w:rPr>
        <w:t xml:space="preserve"> </w:t>
      </w:r>
      <w:r w:rsidRPr="00EF1EC7">
        <w:rPr>
          <w:rFonts w:ascii="Times New Roman" w:hAnsi="Times New Roman"/>
          <w:sz w:val="24"/>
          <w:szCs w:val="24"/>
          <w:lang w:val="en-US"/>
        </w:rPr>
        <w:t>at the latest</w:t>
      </w:r>
    </w:p>
    <w:p w:rsidR="00EF1EC7" w:rsidRPr="00EF1EC7"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 xml:space="preserve">Scope of the phase: </w:t>
      </w:r>
    </w:p>
    <w:p w:rsidR="00122E91" w:rsidRPr="00EB3A0F" w:rsidRDefault="00EF1EC7" w:rsidP="00EF1EC7">
      <w:pPr>
        <w:spacing w:after="0" w:line="360" w:lineRule="auto"/>
        <w:jc w:val="both"/>
        <w:rPr>
          <w:rFonts w:ascii="Times New Roman" w:hAnsi="Times New Roman"/>
          <w:sz w:val="24"/>
          <w:szCs w:val="24"/>
          <w:lang w:val="en-US"/>
        </w:rPr>
      </w:pPr>
      <w:r w:rsidRPr="00EF1EC7">
        <w:rPr>
          <w:rFonts w:ascii="Times New Roman" w:hAnsi="Times New Roman"/>
          <w:sz w:val="24"/>
          <w:szCs w:val="24"/>
          <w:lang w:val="en-US"/>
        </w:rPr>
        <w:t>a)</w:t>
      </w:r>
      <w:r w:rsidRPr="00EF1EC7">
        <w:rPr>
          <w:rFonts w:ascii="Times New Roman" w:hAnsi="Times New Roman"/>
          <w:sz w:val="24"/>
          <w:szCs w:val="24"/>
          <w:lang w:val="en-US"/>
        </w:rPr>
        <w:tab/>
        <w:t>implementation of the System at the libraries indicated by the National Library, in accordance with the DOC that constitutes Attachment no. 2 to the Contract.</w:t>
      </w:r>
      <w:r w:rsidR="00122E91" w:rsidRPr="00EB3A0F">
        <w:rPr>
          <w:rFonts w:ascii="Times New Roman" w:hAnsi="Times New Roman"/>
          <w:sz w:val="24"/>
          <w:szCs w:val="24"/>
          <w:lang w:val="en-US"/>
        </w:rPr>
        <w:t>”</w:t>
      </w:r>
    </w:p>
    <w:p w:rsidR="004C4E78" w:rsidRPr="00EB3A0F" w:rsidRDefault="004C4E78" w:rsidP="00557000">
      <w:pPr>
        <w:spacing w:after="0" w:line="360" w:lineRule="auto"/>
        <w:jc w:val="both"/>
        <w:rPr>
          <w:rFonts w:ascii="Times New Roman" w:hAnsi="Times New Roman"/>
          <w:sz w:val="24"/>
          <w:szCs w:val="24"/>
          <w:lang w:val="en-US"/>
        </w:rPr>
      </w:pPr>
    </w:p>
    <w:p w:rsidR="004C4E78" w:rsidRPr="002C216B" w:rsidRDefault="00EF1EC7" w:rsidP="002C216B">
      <w:pPr>
        <w:pStyle w:val="Akapitzlist"/>
        <w:numPr>
          <w:ilvl w:val="0"/>
          <w:numId w:val="22"/>
        </w:numPr>
        <w:spacing w:after="0" w:line="360" w:lineRule="auto"/>
        <w:jc w:val="both"/>
        <w:rPr>
          <w:rFonts w:ascii="Times New Roman" w:eastAsiaTheme="minorHAnsi" w:hAnsi="Times New Roman"/>
          <w:b/>
          <w:sz w:val="24"/>
          <w:szCs w:val="24"/>
        </w:rPr>
      </w:pPr>
      <w:r w:rsidRPr="002C216B">
        <w:rPr>
          <w:rFonts w:ascii="Times New Roman" w:hAnsi="Times New Roman"/>
          <w:b/>
          <w:sz w:val="24"/>
          <w:szCs w:val="24"/>
        </w:rPr>
        <w:t>§4</w:t>
      </w:r>
      <w:r w:rsidR="004C4E78" w:rsidRPr="002C216B">
        <w:rPr>
          <w:rFonts w:ascii="Times New Roman" w:hAnsi="Times New Roman"/>
          <w:b/>
          <w:sz w:val="24"/>
          <w:szCs w:val="24"/>
        </w:rPr>
        <w:t xml:space="preserve"> </w:t>
      </w:r>
      <w:proofErr w:type="spellStart"/>
      <w:r w:rsidR="00CC137E" w:rsidRPr="002C216B">
        <w:rPr>
          <w:rFonts w:ascii="Times New Roman" w:hAnsi="Times New Roman"/>
          <w:b/>
          <w:sz w:val="24"/>
          <w:szCs w:val="24"/>
        </w:rPr>
        <w:t>Section</w:t>
      </w:r>
      <w:proofErr w:type="spellEnd"/>
      <w:r w:rsidRPr="002C216B">
        <w:rPr>
          <w:rFonts w:ascii="Times New Roman" w:hAnsi="Times New Roman"/>
          <w:b/>
          <w:sz w:val="24"/>
          <w:szCs w:val="24"/>
        </w:rPr>
        <w:t xml:space="preserve"> 7:</w:t>
      </w:r>
    </w:p>
    <w:p w:rsidR="00122E91" w:rsidRPr="002C216B" w:rsidRDefault="00403F34" w:rsidP="002C216B">
      <w:pPr>
        <w:pStyle w:val="Akapitzlist"/>
        <w:numPr>
          <w:ilvl w:val="0"/>
          <w:numId w:val="21"/>
        </w:numPr>
        <w:spacing w:after="0" w:line="360" w:lineRule="auto"/>
        <w:jc w:val="both"/>
        <w:rPr>
          <w:rFonts w:ascii="Times New Roman" w:eastAsiaTheme="minorHAnsi" w:hAnsi="Times New Roman"/>
          <w:sz w:val="24"/>
          <w:szCs w:val="24"/>
          <w:lang w:val="en-US"/>
        </w:rPr>
      </w:pPr>
      <w:r w:rsidRPr="002C216B">
        <w:rPr>
          <w:rFonts w:ascii="Times New Roman" w:eastAsiaTheme="minorHAnsi" w:hAnsi="Times New Roman"/>
          <w:sz w:val="24"/>
          <w:szCs w:val="24"/>
          <w:u w:val="single"/>
          <w:lang w:val="en-US"/>
        </w:rPr>
        <w:t>the provision that currently reads:</w:t>
      </w:r>
    </w:p>
    <w:p w:rsidR="00AF48D8" w:rsidRPr="00EB3A0F" w:rsidRDefault="00AF48D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EF1EC7" w:rsidRPr="00EF1EC7">
        <w:rPr>
          <w:rFonts w:ascii="Times New Roman" w:eastAsiaTheme="minorHAnsi" w:hAnsi="Times New Roman"/>
          <w:sz w:val="24"/>
          <w:szCs w:val="24"/>
          <w:lang w:val="en-US"/>
        </w:rPr>
        <w:t>If the Contract expires for any reason, the Contractor shall provide within 30 calendar days from the date of expiration of the Contract all the bibliographic data, at least in the following formats: MARCXML, ISO 2709 exchange format, JSON. The Contractor shall provide at the Contracting Authority's request all the other resources necessary to restore the library processes and the current status.</w:t>
      </w:r>
      <w:r w:rsidRPr="00EB3A0F">
        <w:rPr>
          <w:rFonts w:ascii="Times New Roman" w:eastAsiaTheme="minorHAnsi" w:hAnsi="Times New Roman"/>
          <w:sz w:val="24"/>
          <w:szCs w:val="24"/>
          <w:lang w:val="en-US"/>
        </w:rPr>
        <w:t>”</w:t>
      </w:r>
    </w:p>
    <w:p w:rsidR="00AF48D8" w:rsidRPr="00EB3A0F" w:rsidRDefault="00AF48D8" w:rsidP="00557000">
      <w:pPr>
        <w:spacing w:after="0" w:line="360" w:lineRule="auto"/>
        <w:jc w:val="both"/>
        <w:rPr>
          <w:rFonts w:ascii="Times New Roman" w:eastAsiaTheme="minorHAnsi" w:hAnsi="Times New Roman"/>
          <w:sz w:val="24"/>
          <w:szCs w:val="24"/>
          <w:lang w:val="en-US"/>
        </w:rPr>
      </w:pPr>
    </w:p>
    <w:p w:rsidR="004D4D23" w:rsidRPr="002C216B" w:rsidRDefault="004D4D23" w:rsidP="002C216B">
      <w:pPr>
        <w:pStyle w:val="Akapitzlist"/>
        <w:numPr>
          <w:ilvl w:val="0"/>
          <w:numId w:val="21"/>
        </w:numPr>
        <w:spacing w:after="0" w:line="360" w:lineRule="auto"/>
        <w:jc w:val="both"/>
        <w:rPr>
          <w:rFonts w:ascii="Times New Roman" w:hAnsi="Times New Roman"/>
          <w:sz w:val="24"/>
          <w:szCs w:val="24"/>
          <w:u w:val="single"/>
          <w:lang w:val="en-US"/>
        </w:rPr>
      </w:pPr>
      <w:r w:rsidRPr="002C216B">
        <w:rPr>
          <w:rFonts w:ascii="Times New Roman" w:hAnsi="Times New Roman"/>
          <w:sz w:val="24"/>
          <w:szCs w:val="24"/>
          <w:u w:val="single"/>
          <w:lang w:val="en-US"/>
        </w:rPr>
        <w:t>shall now be read as follows:</w:t>
      </w:r>
    </w:p>
    <w:p w:rsidR="004C4E78" w:rsidRPr="00EB3A0F" w:rsidRDefault="00AF48D8" w:rsidP="00557000">
      <w:pPr>
        <w:spacing w:after="0" w:line="360" w:lineRule="auto"/>
        <w:jc w:val="both"/>
        <w:rPr>
          <w:rFonts w:ascii="Times New Roman" w:eastAsiaTheme="minorHAnsi" w:hAnsi="Times New Roman"/>
          <w:sz w:val="24"/>
          <w:szCs w:val="24"/>
          <w:lang w:val="en-US"/>
        </w:rPr>
      </w:pPr>
      <w:r w:rsidRPr="00EB3A0F">
        <w:rPr>
          <w:rFonts w:ascii="Times New Roman" w:eastAsiaTheme="minorHAnsi" w:hAnsi="Times New Roman"/>
          <w:sz w:val="24"/>
          <w:szCs w:val="24"/>
          <w:lang w:val="en-US"/>
        </w:rPr>
        <w:t>„</w:t>
      </w:r>
      <w:r w:rsidR="00B13677" w:rsidRPr="00B13677">
        <w:rPr>
          <w:lang w:val="en-US"/>
        </w:rPr>
        <w:t xml:space="preserve"> </w:t>
      </w:r>
      <w:r w:rsidR="00B13677" w:rsidRPr="00B13677">
        <w:rPr>
          <w:rFonts w:ascii="Times New Roman" w:eastAsiaTheme="minorHAnsi" w:hAnsi="Times New Roman"/>
          <w:sz w:val="24"/>
          <w:szCs w:val="24"/>
          <w:lang w:val="en-US"/>
        </w:rPr>
        <w:t xml:space="preserve">If the Contract expires for any </w:t>
      </w:r>
      <w:r w:rsidR="00B13677">
        <w:rPr>
          <w:rFonts w:ascii="Times New Roman" w:eastAsiaTheme="minorHAnsi" w:hAnsi="Times New Roman"/>
          <w:sz w:val="24"/>
          <w:szCs w:val="24"/>
          <w:lang w:val="en-US"/>
        </w:rPr>
        <w:t xml:space="preserve">legal </w:t>
      </w:r>
      <w:r w:rsidR="00B13677" w:rsidRPr="00B13677">
        <w:rPr>
          <w:rFonts w:ascii="Times New Roman" w:eastAsiaTheme="minorHAnsi" w:hAnsi="Times New Roman"/>
          <w:sz w:val="24"/>
          <w:szCs w:val="24"/>
          <w:lang w:val="en-US"/>
        </w:rPr>
        <w:t>reason, the Contractor shall provide within 30 calendar days from the date of expiration of the Contract all the bibliographic data, at least in the following formats: MARCXML, ISO 2709 exchange format, JSON. The Contractor shall provide at the Contracting Authority's request all the other resources necessary to restore the library processes and the current status.</w:t>
      </w:r>
      <w:r w:rsidRPr="00EB3A0F">
        <w:rPr>
          <w:rFonts w:ascii="Times New Roman" w:eastAsiaTheme="minorHAnsi" w:hAnsi="Times New Roman"/>
          <w:sz w:val="24"/>
          <w:szCs w:val="24"/>
          <w:lang w:val="en-US"/>
        </w:rPr>
        <w:t>”</w:t>
      </w:r>
    </w:p>
    <w:p w:rsidR="00AF48D8" w:rsidRPr="0029576D" w:rsidRDefault="00AF48D8" w:rsidP="00557000">
      <w:pPr>
        <w:spacing w:after="0" w:line="360" w:lineRule="auto"/>
        <w:jc w:val="both"/>
        <w:rPr>
          <w:rFonts w:ascii="Times New Roman" w:eastAsiaTheme="minorHAnsi" w:hAnsi="Times New Roman"/>
          <w:sz w:val="24"/>
          <w:szCs w:val="24"/>
          <w:lang w:val="en-US"/>
        </w:rPr>
      </w:pPr>
    </w:p>
    <w:p w:rsidR="00122E91" w:rsidRPr="002C216B" w:rsidRDefault="00AE7F23" w:rsidP="002C216B">
      <w:pPr>
        <w:pStyle w:val="Akapitzlist"/>
        <w:numPr>
          <w:ilvl w:val="0"/>
          <w:numId w:val="22"/>
        </w:numPr>
        <w:spacing w:line="360" w:lineRule="auto"/>
        <w:jc w:val="both"/>
        <w:rPr>
          <w:rFonts w:ascii="Times New Roman" w:hAnsi="Times New Roman"/>
          <w:b/>
          <w:sz w:val="24"/>
          <w:szCs w:val="24"/>
          <w:lang w:val="en-US"/>
        </w:rPr>
      </w:pPr>
      <w:r w:rsidRPr="002C216B">
        <w:rPr>
          <w:rFonts w:ascii="Times New Roman" w:hAnsi="Times New Roman"/>
          <w:b/>
          <w:sz w:val="24"/>
          <w:szCs w:val="24"/>
          <w:lang w:val="en-US"/>
        </w:rPr>
        <w:t>§6 Section 1 Item 4:</w:t>
      </w:r>
    </w:p>
    <w:p w:rsidR="00122E91"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u w:val="single"/>
          <w:lang w:val="en-US" w:eastAsia="pl-PL"/>
        </w:rPr>
      </w:pPr>
      <w:r w:rsidRPr="002C216B">
        <w:rPr>
          <w:rFonts w:ascii="Times New Roman" w:eastAsia="Times New Roman" w:hAnsi="Times New Roman"/>
          <w:sz w:val="24"/>
          <w:szCs w:val="24"/>
          <w:u w:val="single"/>
          <w:lang w:val="en-US" w:eastAsia="pl-PL"/>
        </w:rPr>
        <w:t>the provision that currently reads:</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Pr="00AE7F23">
        <w:rPr>
          <w:rFonts w:ascii="Times New Roman" w:eastAsia="Times New Roman" w:hAnsi="Times New Roman"/>
          <w:sz w:val="24"/>
          <w:szCs w:val="24"/>
          <w:lang w:val="en-US" w:eastAsia="pl-PL"/>
        </w:rPr>
        <w:t xml:space="preserve">the materials provided to the Contracting Authority for the purpose of performance of the Contract do not breach any third party rights, in particular any rights arising from the provisions </w:t>
      </w:r>
      <w:r w:rsidRPr="00AE7F23">
        <w:rPr>
          <w:rFonts w:ascii="Times New Roman" w:eastAsia="Times New Roman" w:hAnsi="Times New Roman"/>
          <w:sz w:val="24"/>
          <w:szCs w:val="24"/>
          <w:lang w:val="en-US" w:eastAsia="pl-PL"/>
        </w:rPr>
        <w:lastRenderedPageBreak/>
        <w:t>of law governing economic copyrights, moral copyrights and derivative rights, rights arising from patents and inventions, registration of trademarks, utility models, technology improvement designs and trade secrets.</w:t>
      </w:r>
      <w:r>
        <w:rPr>
          <w:rFonts w:ascii="Times New Roman" w:eastAsia="Times New Roman" w:hAnsi="Times New Roman"/>
          <w:sz w:val="24"/>
          <w:szCs w:val="24"/>
          <w:lang w:val="en-US" w:eastAsia="pl-PL"/>
        </w:rPr>
        <w:t>”</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p>
    <w:p w:rsidR="00AE7F23"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u w:val="single"/>
          <w:lang w:val="en-US" w:eastAsia="pl-PL"/>
        </w:rPr>
      </w:pPr>
      <w:r w:rsidRPr="002C216B">
        <w:rPr>
          <w:rFonts w:ascii="Times New Roman" w:eastAsia="Times New Roman" w:hAnsi="Times New Roman"/>
          <w:sz w:val="24"/>
          <w:szCs w:val="24"/>
          <w:u w:val="single"/>
          <w:lang w:val="en-US" w:eastAsia="pl-PL"/>
        </w:rPr>
        <w:t>shall now be read as follows:</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Pr="00AE7F23">
        <w:rPr>
          <w:rFonts w:ascii="Times New Roman" w:eastAsia="Times New Roman" w:hAnsi="Times New Roman"/>
          <w:sz w:val="24"/>
          <w:szCs w:val="24"/>
          <w:lang w:val="en-US" w:eastAsia="pl-PL"/>
        </w:rPr>
        <w:t xml:space="preserve">the materials provided to the Contracting Authority for the purpose of performance of the Contract do not breach any third party rights, in particular any rights arising from the provisions of law governing economic copyrights, moral copyrights and </w:t>
      </w:r>
      <w:proofErr w:type="spellStart"/>
      <w:r w:rsidRPr="00AE7F23">
        <w:rPr>
          <w:rFonts w:ascii="Times New Roman" w:eastAsia="Times New Roman" w:hAnsi="Times New Roman"/>
          <w:sz w:val="24"/>
          <w:szCs w:val="24"/>
          <w:lang w:val="en-US" w:eastAsia="pl-PL"/>
        </w:rPr>
        <w:t>neighbouring</w:t>
      </w:r>
      <w:proofErr w:type="spellEnd"/>
      <w:r w:rsidRPr="00AE7F23">
        <w:rPr>
          <w:rFonts w:ascii="Times New Roman" w:eastAsia="Times New Roman" w:hAnsi="Times New Roman"/>
          <w:sz w:val="24"/>
          <w:szCs w:val="24"/>
          <w:lang w:val="en-US" w:eastAsia="pl-PL"/>
        </w:rPr>
        <w:t xml:space="preserve"> rights, rights arising from patents and inventions, registration of trademarks, utility models, technology improvement designs and trade secrets.</w:t>
      </w:r>
      <w:r>
        <w:rPr>
          <w:rFonts w:ascii="Times New Roman" w:eastAsia="Times New Roman" w:hAnsi="Times New Roman"/>
          <w:sz w:val="24"/>
          <w:szCs w:val="24"/>
          <w:lang w:val="en-US" w:eastAsia="pl-PL"/>
        </w:rPr>
        <w:t>”</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p>
    <w:p w:rsidR="00AE7F23" w:rsidRPr="002C216B" w:rsidRDefault="00AE7F23" w:rsidP="00557000">
      <w:pPr>
        <w:pStyle w:val="Akapitzlist"/>
        <w:numPr>
          <w:ilvl w:val="0"/>
          <w:numId w:val="22"/>
        </w:numPr>
        <w:tabs>
          <w:tab w:val="right" w:pos="9070"/>
        </w:tabs>
        <w:spacing w:after="0" w:line="360" w:lineRule="auto"/>
        <w:jc w:val="both"/>
        <w:rPr>
          <w:rFonts w:ascii="Times New Roman" w:hAnsi="Times New Roman"/>
          <w:b/>
          <w:sz w:val="24"/>
          <w:szCs w:val="24"/>
          <w:lang w:val="en-US"/>
        </w:rPr>
      </w:pPr>
      <w:r w:rsidRPr="002C216B">
        <w:rPr>
          <w:rFonts w:ascii="Times New Roman" w:hAnsi="Times New Roman"/>
          <w:b/>
          <w:sz w:val="24"/>
          <w:szCs w:val="24"/>
          <w:lang w:val="en-US"/>
        </w:rPr>
        <w:t>§6 Section 3 Item 1:</w:t>
      </w:r>
    </w:p>
    <w:p w:rsidR="00AE7F23"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F83128" w:rsidRPr="00F83128">
        <w:rPr>
          <w:rFonts w:ascii="Times New Roman" w:eastAsia="Times New Roman" w:hAnsi="Times New Roman"/>
          <w:sz w:val="24"/>
          <w:szCs w:val="24"/>
          <w:lang w:val="en-US" w:eastAsia="pl-PL"/>
        </w:rPr>
        <w:tab/>
        <w:t>upon the delivery to the Contracting Authority of the User Documentation for the System  referred to in Clause 3.1.1.(a) above, the Contractor shall transfer to the Contracting Authority, as a part of consideration for the contract fee, all the economic copyrights and derivative rights thereto, including the, unlimited in terms of time and territory, right to use in various forms and shapes, as the need may be, and to any and all works, documents and other elements made in the course of making of the design documentation, in any form;</w:t>
      </w:r>
      <w:r>
        <w:rPr>
          <w:rFonts w:ascii="Times New Roman" w:eastAsia="Times New Roman" w:hAnsi="Times New Roman"/>
          <w:sz w:val="24"/>
          <w:szCs w:val="24"/>
          <w:lang w:val="en-US" w:eastAsia="pl-PL"/>
        </w:rPr>
        <w:t>”</w:t>
      </w:r>
    </w:p>
    <w:p w:rsidR="00AE7F23"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F83128" w:rsidRPr="00F83128">
        <w:rPr>
          <w:rFonts w:ascii="Times New Roman" w:eastAsia="Times New Roman" w:hAnsi="Times New Roman"/>
          <w:sz w:val="24"/>
          <w:szCs w:val="24"/>
          <w:lang w:val="en-US" w:eastAsia="pl-PL"/>
        </w:rPr>
        <w:t xml:space="preserve">upon the delivery to the Contracting Authority of the User Documentation for the System  referred to in Clause 3.1.1.(a) above, the Contractor shall transfer to the Contracting Authority, as a part of consideration for the contract remuneration, all the author’s economic copyrights and </w:t>
      </w:r>
      <w:proofErr w:type="spellStart"/>
      <w:r w:rsidR="00F83128" w:rsidRPr="00F83128">
        <w:rPr>
          <w:rFonts w:ascii="Times New Roman" w:eastAsia="Times New Roman" w:hAnsi="Times New Roman"/>
          <w:sz w:val="24"/>
          <w:szCs w:val="24"/>
          <w:lang w:val="en-US" w:eastAsia="pl-PL"/>
        </w:rPr>
        <w:t>neighbouring</w:t>
      </w:r>
      <w:proofErr w:type="spellEnd"/>
      <w:r w:rsidR="00F83128" w:rsidRPr="00F83128">
        <w:rPr>
          <w:rFonts w:ascii="Times New Roman" w:eastAsia="Times New Roman" w:hAnsi="Times New Roman"/>
          <w:sz w:val="24"/>
          <w:szCs w:val="24"/>
          <w:lang w:val="en-US" w:eastAsia="pl-PL"/>
        </w:rPr>
        <w:t xml:space="preserve"> rights thereto, including the, unlimited in terms of time and territory, right to use in various forms and shapes, as the need may be, and to any and all works, documents and other elements made in the course of making of the design documentation, in any form;</w:t>
      </w:r>
      <w:r>
        <w:rPr>
          <w:rFonts w:ascii="Times New Roman" w:eastAsia="Times New Roman" w:hAnsi="Times New Roman"/>
          <w:sz w:val="24"/>
          <w:szCs w:val="24"/>
          <w:lang w:val="en-US" w:eastAsia="pl-PL"/>
        </w:rPr>
        <w:t>”</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p>
    <w:p w:rsidR="002C216B" w:rsidRPr="002C216B" w:rsidRDefault="00AE7F23" w:rsidP="002C216B">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hAnsi="Times New Roman"/>
          <w:b/>
          <w:sz w:val="24"/>
          <w:szCs w:val="24"/>
          <w:lang w:val="en-US"/>
        </w:rPr>
        <w:t>§6 Section 3 Item 3:</w:t>
      </w:r>
    </w:p>
    <w:p w:rsidR="00AE7F23"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F83128" w:rsidRPr="00F83128" w:rsidRDefault="00AE7F23"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F83128" w:rsidRPr="00F83128">
        <w:rPr>
          <w:rFonts w:ascii="Times New Roman" w:eastAsia="Times New Roman" w:hAnsi="Times New Roman"/>
          <w:sz w:val="24"/>
          <w:szCs w:val="24"/>
          <w:lang w:val="en-US" w:eastAsia="pl-PL"/>
        </w:rPr>
        <w:t xml:space="preserve">the Contractor represents that starting from the transfer of the economic copyrights and derivative rights, the Contracting Authority shall have the exclusive and unlimited in time right </w:t>
      </w:r>
      <w:r w:rsidR="00F83128" w:rsidRPr="00F83128">
        <w:rPr>
          <w:rFonts w:ascii="Times New Roman" w:eastAsia="Times New Roman" w:hAnsi="Times New Roman"/>
          <w:sz w:val="24"/>
          <w:szCs w:val="24"/>
          <w:lang w:val="en-US" w:eastAsia="pl-PL"/>
        </w:rPr>
        <w:lastRenderedPageBreak/>
        <w:t>to use the entirety of the documentation in any known and identifiable fields of use, in particular to:</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a) </w:t>
      </w:r>
      <w:r w:rsidRPr="00F83128">
        <w:rPr>
          <w:rFonts w:ascii="Times New Roman" w:eastAsia="Times New Roman" w:hAnsi="Times New Roman"/>
          <w:sz w:val="24"/>
          <w:szCs w:val="24"/>
          <w:lang w:val="en-US" w:eastAsia="pl-PL"/>
        </w:rPr>
        <w:t>record it on any medium,</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b)</w:t>
      </w:r>
      <w:r w:rsidRPr="00F8312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F83128">
        <w:rPr>
          <w:rFonts w:ascii="Times New Roman" w:eastAsia="Times New Roman" w:hAnsi="Times New Roman"/>
          <w:sz w:val="24"/>
          <w:szCs w:val="24"/>
          <w:lang w:val="en-US" w:eastAsia="pl-PL"/>
        </w:rPr>
        <w:t>to multiply it with the use of any technology, including copying and production of copies of the works of authorship or their elements, in their entirety or in part, with the use of digital technology, print, photocopy, as a magnetic record and to enter it into computer memory and computer and telecommunication networks, without limitations;</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c)</w:t>
      </w:r>
      <w:r w:rsidRPr="00F8312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F83128">
        <w:rPr>
          <w:rFonts w:ascii="Times New Roman" w:eastAsia="Times New Roman" w:hAnsi="Times New Roman"/>
          <w:sz w:val="24"/>
          <w:szCs w:val="24"/>
          <w:lang w:val="en-US" w:eastAsia="pl-PL"/>
        </w:rPr>
        <w:t>to introduce into trading, grant for gratuitous use, rent or otherwise make available copies of the works of authorship, in their entirety or in part and to disseminate the works of authorship in computer and telecommunication networks;</w:t>
      </w:r>
    </w:p>
    <w:p w:rsidR="00AE7F23"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d) </w:t>
      </w:r>
      <w:r w:rsidRPr="00F83128">
        <w:rPr>
          <w:rFonts w:ascii="Times New Roman" w:eastAsia="Times New Roman" w:hAnsi="Times New Roman"/>
          <w:sz w:val="24"/>
          <w:szCs w:val="24"/>
          <w:lang w:val="en-US" w:eastAsia="pl-PL"/>
        </w:rPr>
        <w:t>to disseminate it as hard copies, digital records and/or multimedia transmissions.</w:t>
      </w:r>
      <w:r w:rsidR="00AE7F23">
        <w:rPr>
          <w:rFonts w:ascii="Times New Roman" w:eastAsia="Times New Roman" w:hAnsi="Times New Roman"/>
          <w:sz w:val="24"/>
          <w:szCs w:val="24"/>
          <w:lang w:val="en-US" w:eastAsia="pl-PL"/>
        </w:rPr>
        <w:t>”</w:t>
      </w:r>
    </w:p>
    <w:p w:rsidR="002C216B" w:rsidRDefault="002C216B" w:rsidP="00AE7F23">
      <w:pPr>
        <w:tabs>
          <w:tab w:val="right" w:pos="9070"/>
        </w:tabs>
        <w:spacing w:after="0" w:line="360" w:lineRule="auto"/>
        <w:jc w:val="both"/>
        <w:rPr>
          <w:rFonts w:ascii="Times New Roman" w:eastAsia="Times New Roman" w:hAnsi="Times New Roman"/>
          <w:sz w:val="24"/>
          <w:szCs w:val="24"/>
          <w:u w:val="single"/>
          <w:lang w:val="en-US" w:eastAsia="pl-PL"/>
        </w:rPr>
      </w:pPr>
    </w:p>
    <w:p w:rsidR="00AE7F23" w:rsidRPr="002C216B" w:rsidRDefault="00AE7F23"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F83128" w:rsidRPr="00F83128" w:rsidRDefault="00AE7F23"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F83128" w:rsidRPr="00F83128">
        <w:rPr>
          <w:rFonts w:ascii="Times New Roman" w:eastAsia="Times New Roman" w:hAnsi="Times New Roman"/>
          <w:sz w:val="24"/>
          <w:szCs w:val="24"/>
          <w:lang w:val="en-US" w:eastAsia="pl-PL"/>
        </w:rPr>
        <w:t xml:space="preserve">the Contractor represents that starting from the transfer of the economic copyrights and </w:t>
      </w:r>
      <w:proofErr w:type="spellStart"/>
      <w:r w:rsidR="00F83128" w:rsidRPr="00F83128">
        <w:rPr>
          <w:rFonts w:ascii="Times New Roman" w:eastAsia="Times New Roman" w:hAnsi="Times New Roman"/>
          <w:sz w:val="24"/>
          <w:szCs w:val="24"/>
          <w:lang w:val="en-US" w:eastAsia="pl-PL"/>
        </w:rPr>
        <w:t>neighbouring</w:t>
      </w:r>
      <w:proofErr w:type="spellEnd"/>
      <w:r w:rsidR="00F83128" w:rsidRPr="00F83128">
        <w:rPr>
          <w:rFonts w:ascii="Times New Roman" w:eastAsia="Times New Roman" w:hAnsi="Times New Roman"/>
          <w:sz w:val="24"/>
          <w:szCs w:val="24"/>
          <w:lang w:val="en-US" w:eastAsia="pl-PL"/>
        </w:rPr>
        <w:t xml:space="preserve"> rights, the Contracting Authority shall have the exclusive and unlimited in time right to use the entirety of the documentation in any known and identifiable fields of use, in particular to:</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a) record it on any medium,</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b)</w:t>
      </w:r>
      <w:r w:rsidRPr="00F83128">
        <w:rPr>
          <w:rFonts w:ascii="Times New Roman" w:eastAsia="Times New Roman" w:hAnsi="Times New Roman"/>
          <w:sz w:val="24"/>
          <w:szCs w:val="24"/>
          <w:lang w:val="en-US" w:eastAsia="pl-PL"/>
        </w:rPr>
        <w:tab/>
        <w:t xml:space="preserve"> to multiply it with the use of any technology, including copying and production of copies of the works of authorship or their elements, in their entirety or in part, with the use of digital technology, print, photocopy, as a magnetic record and to enter it into computer memory and computer and telecommunication networks, without limitations;</w:t>
      </w:r>
    </w:p>
    <w:p w:rsidR="00F83128" w:rsidRP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c)</w:t>
      </w:r>
      <w:r w:rsidRPr="00F83128">
        <w:rPr>
          <w:rFonts w:ascii="Times New Roman" w:eastAsia="Times New Roman" w:hAnsi="Times New Roman"/>
          <w:sz w:val="24"/>
          <w:szCs w:val="24"/>
          <w:lang w:val="en-US" w:eastAsia="pl-PL"/>
        </w:rPr>
        <w:tab/>
        <w:t xml:space="preserve"> to introduce into trading, grant for gratuitous use, rent or otherwise make available copies of the works of authorship, in their entirety or in part and to disseminate the works of authorship in computer and telecommunication networks;</w:t>
      </w:r>
    </w:p>
    <w:p w:rsidR="00AE7F23"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sidRPr="00F83128">
        <w:rPr>
          <w:rFonts w:ascii="Times New Roman" w:eastAsia="Times New Roman" w:hAnsi="Times New Roman"/>
          <w:sz w:val="24"/>
          <w:szCs w:val="24"/>
          <w:lang w:val="en-US" w:eastAsia="pl-PL"/>
        </w:rPr>
        <w:t>d) to disseminate it as hard copies, digital records and/or multimedia transmissions.</w:t>
      </w:r>
      <w:r w:rsidR="00AE7F23">
        <w:rPr>
          <w:rFonts w:ascii="Times New Roman" w:eastAsia="Times New Roman" w:hAnsi="Times New Roman"/>
          <w:sz w:val="24"/>
          <w:szCs w:val="24"/>
          <w:lang w:val="en-US" w:eastAsia="pl-PL"/>
        </w:rPr>
        <w:t>”</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p>
    <w:p w:rsidR="00F83128" w:rsidRPr="002C216B" w:rsidRDefault="00F83128" w:rsidP="002C216B">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hAnsi="Times New Roman"/>
          <w:b/>
          <w:sz w:val="24"/>
          <w:szCs w:val="24"/>
          <w:lang w:val="en-US"/>
        </w:rPr>
        <w:t>§8 Section 3:</w:t>
      </w: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485458" w:rsidRPr="00485458" w:rsidRDefault="00F83128" w:rsidP="0048545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lastRenderedPageBreak/>
        <w:t>“</w:t>
      </w:r>
      <w:r w:rsidR="00485458" w:rsidRPr="00485458">
        <w:rPr>
          <w:rFonts w:ascii="Times New Roman" w:eastAsia="Times New Roman" w:hAnsi="Times New Roman"/>
          <w:sz w:val="24"/>
          <w:szCs w:val="24"/>
          <w:lang w:val="en-US" w:eastAsia="pl-PL"/>
        </w:rPr>
        <w:t>The remuneration referred to in Clause 8.1.1 above shall be payable in instalments, on the basis of invoices to be issued following the signing of an unqualified acceptance protocol for the given stage, in accordance with the following remuneration payment schedule:</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1)</w:t>
      </w:r>
      <w:r w:rsidRPr="0048545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For the completion of phase I referred to in Clause 3.1.1 above - 15 % of the remuneration  referred to in Clause 8.1.1 above,</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2)</w:t>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ab/>
        <w:t>For the completion of phase II referred to in Clause 3.1.2 above - 15 % of the remuneration  referred to in Clause 8.1.1 above,</w:t>
      </w:r>
    </w:p>
    <w:p w:rsidR="00F8312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3)</w:t>
      </w:r>
      <w:r w:rsidRPr="0048545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For the completion of phase III referred to in Clause 3.1.3 above - 70 % of the remuneration  referred to in Clause 8.1.1 above.</w:t>
      </w:r>
      <w:r w:rsidR="00F83128">
        <w:rPr>
          <w:rFonts w:ascii="Times New Roman" w:eastAsia="Times New Roman" w:hAnsi="Times New Roman"/>
          <w:sz w:val="24"/>
          <w:szCs w:val="24"/>
          <w:lang w:val="en-US" w:eastAsia="pl-PL"/>
        </w:rPr>
        <w:t>”</w:t>
      </w:r>
    </w:p>
    <w:p w:rsidR="002C216B" w:rsidRDefault="002C216B" w:rsidP="00F83128">
      <w:pPr>
        <w:tabs>
          <w:tab w:val="right" w:pos="9070"/>
        </w:tabs>
        <w:spacing w:after="0" w:line="360" w:lineRule="auto"/>
        <w:jc w:val="both"/>
        <w:rPr>
          <w:rFonts w:ascii="Times New Roman" w:eastAsia="Times New Roman" w:hAnsi="Times New Roman"/>
          <w:sz w:val="24"/>
          <w:szCs w:val="24"/>
          <w:u w:val="single"/>
          <w:lang w:val="en-US" w:eastAsia="pl-PL"/>
        </w:rPr>
      </w:pP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485458" w:rsidRPr="00485458" w:rsidRDefault="00F83128" w:rsidP="0048545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The remuneration referred to in Clause 8.1.1 above shall be payable in instalments, on the basis of invoices to be issued following the signing of an unqualified acceptance protocol for the given phase, in accordance with the following remuneration payment schedule:</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1)</w:t>
      </w:r>
      <w:r w:rsidRPr="00485458">
        <w:rPr>
          <w:rFonts w:ascii="Times New Roman" w:eastAsia="Times New Roman" w:hAnsi="Times New Roman"/>
          <w:sz w:val="24"/>
          <w:szCs w:val="24"/>
          <w:lang w:val="en-US" w:eastAsia="pl-PL"/>
        </w:rPr>
        <w:tab/>
        <w:t xml:space="preserve"> For the completion of phase I referred to in Clause 3.1.1 above - 15 % of the remuneration  referred to in Clause 8.1.1 above,</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xml:space="preserve">2) </w:t>
      </w:r>
      <w:r w:rsidRPr="00485458">
        <w:rPr>
          <w:rFonts w:ascii="Times New Roman" w:eastAsia="Times New Roman" w:hAnsi="Times New Roman"/>
          <w:sz w:val="24"/>
          <w:szCs w:val="24"/>
          <w:lang w:val="en-US" w:eastAsia="pl-PL"/>
        </w:rPr>
        <w:tab/>
        <w:t>For the completion of phase II referred to in Clause 3.1.2 above - 15 % of the remuneration  referred to in Clause 8.1.1 above,</w:t>
      </w:r>
    </w:p>
    <w:p w:rsidR="00F8312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3)</w:t>
      </w:r>
      <w:r w:rsidRPr="00485458">
        <w:rPr>
          <w:rFonts w:ascii="Times New Roman" w:eastAsia="Times New Roman" w:hAnsi="Times New Roman"/>
          <w:sz w:val="24"/>
          <w:szCs w:val="24"/>
          <w:lang w:val="en-US" w:eastAsia="pl-PL"/>
        </w:rPr>
        <w:tab/>
        <w:t xml:space="preserve"> For the completion of phase III referred to in Clause 3.1.3 above - 70 % of the remuneration  referred to in Clause 8.1.1 above.</w:t>
      </w:r>
      <w:r w:rsidR="00F83128">
        <w:rPr>
          <w:rFonts w:ascii="Times New Roman" w:eastAsia="Times New Roman" w:hAnsi="Times New Roman"/>
          <w:sz w:val="24"/>
          <w:szCs w:val="24"/>
          <w:lang w:val="en-US" w:eastAsia="pl-PL"/>
        </w:rPr>
        <w:t>”</w:t>
      </w:r>
    </w:p>
    <w:p w:rsidR="00AE7F23" w:rsidRDefault="00AE7F23" w:rsidP="00557000">
      <w:pPr>
        <w:tabs>
          <w:tab w:val="right" w:pos="9070"/>
        </w:tabs>
        <w:spacing w:after="0" w:line="360" w:lineRule="auto"/>
        <w:jc w:val="both"/>
        <w:rPr>
          <w:rFonts w:ascii="Times New Roman" w:eastAsia="Times New Roman" w:hAnsi="Times New Roman"/>
          <w:sz w:val="24"/>
          <w:szCs w:val="24"/>
          <w:lang w:val="en-US" w:eastAsia="pl-PL"/>
        </w:rPr>
      </w:pPr>
    </w:p>
    <w:p w:rsidR="00F83128" w:rsidRPr="002C216B" w:rsidRDefault="00F83128" w:rsidP="00F83128">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hAnsi="Times New Roman"/>
          <w:b/>
          <w:sz w:val="24"/>
          <w:szCs w:val="24"/>
          <w:lang w:val="en-US"/>
        </w:rPr>
        <w:t>§8 Section 4</w:t>
      </w:r>
      <w:r w:rsidR="00485458" w:rsidRPr="002C216B">
        <w:rPr>
          <w:rFonts w:ascii="Times New Roman" w:hAnsi="Times New Roman"/>
          <w:b/>
          <w:sz w:val="24"/>
          <w:szCs w:val="24"/>
          <w:lang w:val="en-US"/>
        </w:rPr>
        <w:t xml:space="preserve"> Item 1</w:t>
      </w:r>
      <w:r w:rsidRPr="002C216B">
        <w:rPr>
          <w:rFonts w:ascii="Times New Roman" w:hAnsi="Times New Roman"/>
          <w:b/>
          <w:sz w:val="24"/>
          <w:szCs w:val="24"/>
          <w:lang w:val="en-US"/>
        </w:rPr>
        <w:t>:</w:t>
      </w: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ab/>
        <w:t>For the service provided in the period from the date of acceptance of the Object of the Contract referred to in Clause 3.1.1 above (phase I) until 31 December 2018 – in the amount of ………………………. (say: …………………………………………) PLN net plus the VAT at the rate of ….., i.e. ……………. PLN (say: ………………………………………………..) PLN gross, on the basis of an invoice issued earlier than on the date of commencement of the service,</w:t>
      </w:r>
      <w:r>
        <w:rPr>
          <w:rFonts w:ascii="Times New Roman" w:eastAsia="Times New Roman" w:hAnsi="Times New Roman"/>
          <w:sz w:val="24"/>
          <w:szCs w:val="24"/>
          <w:lang w:val="en-US" w:eastAsia="pl-PL"/>
        </w:rPr>
        <w:t>”</w:t>
      </w:r>
    </w:p>
    <w:p w:rsidR="00485458" w:rsidRDefault="00485458" w:rsidP="00F83128">
      <w:pPr>
        <w:tabs>
          <w:tab w:val="right" w:pos="9070"/>
        </w:tabs>
        <w:spacing w:after="0" w:line="360" w:lineRule="auto"/>
        <w:jc w:val="both"/>
        <w:rPr>
          <w:rFonts w:ascii="Times New Roman" w:eastAsia="Times New Roman" w:hAnsi="Times New Roman"/>
          <w:sz w:val="24"/>
          <w:szCs w:val="24"/>
          <w:u w:val="single"/>
          <w:lang w:val="en-US" w:eastAsia="pl-PL"/>
        </w:rPr>
      </w:pP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lastRenderedPageBreak/>
        <w:t>“</w:t>
      </w:r>
      <w:r w:rsidR="00485458" w:rsidRPr="00485458">
        <w:rPr>
          <w:rFonts w:ascii="Times New Roman" w:eastAsia="Times New Roman" w:hAnsi="Times New Roman"/>
          <w:sz w:val="24"/>
          <w:szCs w:val="24"/>
          <w:lang w:val="en-US" w:eastAsia="pl-PL"/>
        </w:rPr>
        <w:t>For the service provided in the period from the date of acceptance of the Object of the Contract referred to in Clause 3.1.1 above (phase I) until 31 December 2018 – in the amount of ………………………. (say: …………………………………………) PLN net plus the VAT at the rate of ….., i.e. ……………. PLN (say: ………………………………………………..) PLN gross, on the basis of an invoice issued not earlier than on the date of commencement of the service,</w:t>
      </w:r>
      <w:r>
        <w:rPr>
          <w:rFonts w:ascii="Times New Roman" w:eastAsia="Times New Roman" w:hAnsi="Times New Roman"/>
          <w:sz w:val="24"/>
          <w:szCs w:val="24"/>
          <w:lang w:val="en-US" w:eastAsia="pl-PL"/>
        </w:rPr>
        <w:t>”</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p>
    <w:p w:rsidR="00F83128" w:rsidRPr="002C216B" w:rsidRDefault="00F83128" w:rsidP="00F83128">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hAnsi="Times New Roman"/>
          <w:b/>
          <w:sz w:val="24"/>
          <w:szCs w:val="24"/>
          <w:lang w:val="en-US"/>
        </w:rPr>
        <w:t>§9 Section 1:</w:t>
      </w: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The Contractor shall grant a statutory warranty covering physical and legal defects and a contractual warranty covering physical and legal defe</w:t>
      </w:r>
      <w:r w:rsidR="00485458">
        <w:rPr>
          <w:rFonts w:ascii="Times New Roman" w:eastAsia="Times New Roman" w:hAnsi="Times New Roman"/>
          <w:sz w:val="24"/>
          <w:szCs w:val="24"/>
          <w:lang w:val="en-US" w:eastAsia="pl-PL"/>
        </w:rPr>
        <w:t>cts until 31 December 20124</w:t>
      </w:r>
      <w:r w:rsidR="00485458" w:rsidRPr="00485458">
        <w:rPr>
          <w:rFonts w:ascii="Times New Roman" w:eastAsia="Times New Roman" w:hAnsi="Times New Roman"/>
          <w:sz w:val="24"/>
          <w:szCs w:val="24"/>
          <w:lang w:val="en-US" w:eastAsia="pl-PL"/>
        </w:rPr>
        <w:t xml:space="preserve"> for the object of the contract. The period of the statutory and contractual  warranty shall commence on the unqualified acceptance date of phase III of the Contract.</w:t>
      </w:r>
      <w:r>
        <w:rPr>
          <w:rFonts w:ascii="Times New Roman" w:eastAsia="Times New Roman" w:hAnsi="Times New Roman"/>
          <w:sz w:val="24"/>
          <w:szCs w:val="24"/>
          <w:lang w:val="en-US" w:eastAsia="pl-PL"/>
        </w:rPr>
        <w:t>”</w:t>
      </w:r>
    </w:p>
    <w:p w:rsidR="00485458" w:rsidRDefault="00485458" w:rsidP="00F83128">
      <w:pPr>
        <w:tabs>
          <w:tab w:val="right" w:pos="9070"/>
        </w:tabs>
        <w:spacing w:after="0" w:line="360" w:lineRule="auto"/>
        <w:jc w:val="both"/>
        <w:rPr>
          <w:rFonts w:ascii="Times New Roman" w:eastAsia="Times New Roman" w:hAnsi="Times New Roman"/>
          <w:sz w:val="24"/>
          <w:szCs w:val="24"/>
          <w:u w:val="single"/>
          <w:lang w:val="en-US" w:eastAsia="pl-PL"/>
        </w:rPr>
      </w:pP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 xml:space="preserve">The Contractor shall grant a statutory warranty covering physical and legal defects and a contractual warranty covering physical and legal </w:t>
      </w:r>
      <w:r w:rsidR="00485458">
        <w:rPr>
          <w:rFonts w:ascii="Times New Roman" w:eastAsia="Times New Roman" w:hAnsi="Times New Roman"/>
          <w:sz w:val="24"/>
          <w:szCs w:val="24"/>
          <w:lang w:val="en-US" w:eastAsia="pl-PL"/>
        </w:rPr>
        <w:t xml:space="preserve">defects until 31 December </w:t>
      </w:r>
      <w:r w:rsidR="00485458" w:rsidRPr="00485458">
        <w:rPr>
          <w:rFonts w:ascii="Times New Roman" w:eastAsia="Times New Roman" w:hAnsi="Times New Roman"/>
          <w:sz w:val="24"/>
          <w:szCs w:val="24"/>
          <w:lang w:val="en-US" w:eastAsia="pl-PL"/>
        </w:rPr>
        <w:t>2024 for the object of the contract. The period of the statutory and contractual warranty shall commence on the unqualified acceptance date of phase III of the Contract.</w:t>
      </w:r>
      <w:r>
        <w:rPr>
          <w:rFonts w:ascii="Times New Roman" w:eastAsia="Times New Roman" w:hAnsi="Times New Roman"/>
          <w:sz w:val="24"/>
          <w:szCs w:val="24"/>
          <w:lang w:val="en-US" w:eastAsia="pl-PL"/>
        </w:rPr>
        <w:t>”</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p>
    <w:p w:rsidR="00F83128" w:rsidRPr="004F361D" w:rsidRDefault="00F83128" w:rsidP="00F83128">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hAnsi="Times New Roman"/>
          <w:b/>
          <w:sz w:val="24"/>
          <w:szCs w:val="24"/>
          <w:lang w:val="en-US"/>
        </w:rPr>
        <w:t>§15:</w:t>
      </w: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Amendment of the Contract</w:t>
      </w:r>
      <w:r>
        <w:rPr>
          <w:rFonts w:ascii="Times New Roman" w:eastAsia="Times New Roman" w:hAnsi="Times New Roman"/>
          <w:sz w:val="24"/>
          <w:szCs w:val="24"/>
          <w:lang w:val="en-US" w:eastAsia="pl-PL"/>
        </w:rPr>
        <w:t>”</w:t>
      </w:r>
    </w:p>
    <w:p w:rsidR="002C216B" w:rsidRDefault="002C216B" w:rsidP="00F83128">
      <w:pPr>
        <w:tabs>
          <w:tab w:val="right" w:pos="9070"/>
        </w:tabs>
        <w:spacing w:after="0" w:line="360" w:lineRule="auto"/>
        <w:jc w:val="both"/>
        <w:rPr>
          <w:rFonts w:ascii="Times New Roman" w:eastAsia="Times New Roman" w:hAnsi="Times New Roman"/>
          <w:sz w:val="24"/>
          <w:szCs w:val="24"/>
          <w:u w:val="single"/>
          <w:lang w:val="en-US" w:eastAsia="pl-PL"/>
        </w:rPr>
      </w:pP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Amendments to the Contract</w:t>
      </w:r>
      <w:r>
        <w:rPr>
          <w:rFonts w:ascii="Times New Roman" w:eastAsia="Times New Roman" w:hAnsi="Times New Roman"/>
          <w:sz w:val="24"/>
          <w:szCs w:val="24"/>
          <w:lang w:val="en-US" w:eastAsia="pl-PL"/>
        </w:rPr>
        <w:t>”</w:t>
      </w:r>
    </w:p>
    <w:p w:rsidR="00F83128" w:rsidRDefault="00F83128" w:rsidP="00F83128">
      <w:pPr>
        <w:tabs>
          <w:tab w:val="right" w:pos="9070"/>
        </w:tabs>
        <w:spacing w:after="0" w:line="360" w:lineRule="auto"/>
        <w:jc w:val="both"/>
        <w:rPr>
          <w:rFonts w:ascii="Times New Roman" w:eastAsia="Times New Roman" w:hAnsi="Times New Roman"/>
          <w:sz w:val="24"/>
          <w:szCs w:val="24"/>
          <w:lang w:val="en-US" w:eastAsia="pl-PL"/>
        </w:rPr>
      </w:pPr>
    </w:p>
    <w:p w:rsidR="00F83128" w:rsidRPr="004F361D" w:rsidRDefault="00F83128" w:rsidP="004F361D">
      <w:pPr>
        <w:pStyle w:val="Akapitzlist"/>
        <w:numPr>
          <w:ilvl w:val="0"/>
          <w:numId w:val="22"/>
        </w:numPr>
        <w:tabs>
          <w:tab w:val="right" w:pos="9070"/>
        </w:tabs>
        <w:spacing w:after="0" w:line="360" w:lineRule="auto"/>
        <w:jc w:val="both"/>
        <w:rPr>
          <w:rFonts w:ascii="Times New Roman" w:eastAsia="Times New Roman" w:hAnsi="Times New Roman"/>
          <w:sz w:val="24"/>
          <w:szCs w:val="24"/>
          <w:lang w:val="en-US" w:eastAsia="pl-PL"/>
        </w:rPr>
      </w:pPr>
      <w:r w:rsidRPr="004F361D">
        <w:rPr>
          <w:rFonts w:ascii="Times New Roman" w:hAnsi="Times New Roman"/>
          <w:b/>
          <w:sz w:val="24"/>
          <w:szCs w:val="24"/>
          <w:lang w:val="en-US"/>
        </w:rPr>
        <w:t>§15 Section 1:</w:t>
      </w: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the provision that currently reads:</w:t>
      </w:r>
    </w:p>
    <w:p w:rsidR="00485458" w:rsidRPr="00485458" w:rsidRDefault="00F83128" w:rsidP="0048545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lastRenderedPageBreak/>
        <w:t>“</w:t>
      </w:r>
      <w:r w:rsidR="00485458" w:rsidRPr="00485458">
        <w:rPr>
          <w:rFonts w:ascii="Times New Roman" w:eastAsia="Times New Roman" w:hAnsi="Times New Roman"/>
          <w:sz w:val="24"/>
          <w:szCs w:val="24"/>
          <w:lang w:val="en-US" w:eastAsia="pl-PL"/>
        </w:rPr>
        <w:t>The Contracting Authority does not expect material changes to the provisions of this Contract from the provisions of the bid, unless such changes involve a change in the amount of the flat remuneration due to the Contractor, which may be changed in the following cases:</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1)</w:t>
      </w:r>
      <w:r w:rsidRPr="0048545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in the case of change in the Value Added Tax (VAT) rate, as appropriate to the change introduced,</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2)</w:t>
      </w:r>
      <w:r w:rsidRPr="00485458">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changes in the minimum wage or the minimum hourly pay rate established under the provisions of the Act of 10 October 2002 on Minimum Wage,</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3)</w:t>
      </w:r>
      <w:r>
        <w:rPr>
          <w:rFonts w:ascii="Times New Roman" w:eastAsia="Times New Roman" w:hAnsi="Times New Roman"/>
          <w:sz w:val="24"/>
          <w:szCs w:val="24"/>
          <w:lang w:val="en-US" w:eastAsia="pl-PL"/>
        </w:rPr>
        <w:t xml:space="preserve"> </w:t>
      </w:r>
      <w:r w:rsidRPr="00485458">
        <w:rPr>
          <w:rFonts w:ascii="Times New Roman" w:eastAsia="Times New Roman" w:hAnsi="Times New Roman"/>
          <w:sz w:val="24"/>
          <w:szCs w:val="24"/>
          <w:lang w:val="en-US" w:eastAsia="pl-PL"/>
        </w:rPr>
        <w:tab/>
        <w:t>changes in the social insurance or health insurance policies or the rate of social security or health insurance premiums</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if these changes will affect the cost of performance of the contract by the Contractor, according to which the Parties agree, that changes to the applicable laws referred to in items (2) and (3) of this paragraph shall apply to persons performing the Object of the Contract, and at the same time the Contractor shall demonstrate to the Contracting Authority that such changes affect the cost of performance of the Contract by the Contractor. For this purpose, the Contractor is entitled to apply to the Contracting Authority for a change of remuneration, submitting relevant documents confirming the validity of the submission of such a request. In such a case, the Contractor shall show in the submitted application and the documents attached thereto that the change of generally applicable law has a direct impact on the costs of performance of the Object of the Contract and the extent to which the change has affected the amount of the Contractor's remuneration.</w:t>
      </w:r>
    </w:p>
    <w:p w:rsidR="00F8312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xml:space="preserve">In case of the change referred to in item 1), the gross remuneration of the Contractor will be changed in accordance with the introduced change in the rate of VAT on goods and services. In case of the change referred to in item 2), the remuneration of the Contractor shall be changed by the value resulting from the increase of the remuneration of the persons performing the Object of the Contract up to the amount of the current minimum wage, taking into account rates of social security or health insurance premiums of the amount of minimum wage. In the case of the change referred to in item 3), the remuneration of the Contractor shall be changed in accordance to the change of the social insurance and health insurance policies or shall be changed by the increase resulting from the increase of the social security and health insurance premiums of persons performing the Object of the Contract to the amount of currently viable rates of social security and health insurance premiums. In case of the change in the remuneration </w:t>
      </w:r>
      <w:r w:rsidRPr="00485458">
        <w:rPr>
          <w:rFonts w:ascii="Times New Roman" w:eastAsia="Times New Roman" w:hAnsi="Times New Roman"/>
          <w:sz w:val="24"/>
          <w:szCs w:val="24"/>
          <w:lang w:val="en-US" w:eastAsia="pl-PL"/>
        </w:rPr>
        <w:lastRenderedPageBreak/>
        <w:t>provided for in this paragraph, this change shall take effect from the date on which the changes in the generally applicable law, which caused this change, enter into force.</w:t>
      </w:r>
      <w:r w:rsidR="00F83128">
        <w:rPr>
          <w:rFonts w:ascii="Times New Roman" w:eastAsia="Times New Roman" w:hAnsi="Times New Roman"/>
          <w:sz w:val="24"/>
          <w:szCs w:val="24"/>
          <w:lang w:val="en-US" w:eastAsia="pl-PL"/>
        </w:rPr>
        <w:t>”</w:t>
      </w:r>
    </w:p>
    <w:p w:rsidR="00485458" w:rsidRDefault="00485458" w:rsidP="00F83128">
      <w:pPr>
        <w:tabs>
          <w:tab w:val="right" w:pos="9070"/>
        </w:tabs>
        <w:spacing w:after="0" w:line="360" w:lineRule="auto"/>
        <w:jc w:val="both"/>
        <w:rPr>
          <w:rFonts w:ascii="Times New Roman" w:eastAsia="Times New Roman" w:hAnsi="Times New Roman"/>
          <w:sz w:val="24"/>
          <w:szCs w:val="24"/>
          <w:u w:val="single"/>
          <w:lang w:val="en-US" w:eastAsia="pl-PL"/>
        </w:rPr>
      </w:pPr>
    </w:p>
    <w:p w:rsidR="00F83128" w:rsidRPr="002C216B" w:rsidRDefault="00F83128" w:rsidP="002C216B">
      <w:pPr>
        <w:pStyle w:val="Akapitzlist"/>
        <w:numPr>
          <w:ilvl w:val="0"/>
          <w:numId w:val="21"/>
        </w:numPr>
        <w:tabs>
          <w:tab w:val="right" w:pos="9070"/>
        </w:tabs>
        <w:spacing w:after="0" w:line="360" w:lineRule="auto"/>
        <w:jc w:val="both"/>
        <w:rPr>
          <w:rFonts w:ascii="Times New Roman" w:eastAsia="Times New Roman" w:hAnsi="Times New Roman"/>
          <w:sz w:val="24"/>
          <w:szCs w:val="24"/>
          <w:lang w:val="en-US" w:eastAsia="pl-PL"/>
        </w:rPr>
      </w:pPr>
      <w:r w:rsidRPr="002C216B">
        <w:rPr>
          <w:rFonts w:ascii="Times New Roman" w:eastAsia="Times New Roman" w:hAnsi="Times New Roman"/>
          <w:sz w:val="24"/>
          <w:szCs w:val="24"/>
          <w:u w:val="single"/>
          <w:lang w:val="en-US" w:eastAsia="pl-PL"/>
        </w:rPr>
        <w:t>shall now be read as follows:</w:t>
      </w:r>
    </w:p>
    <w:p w:rsidR="00485458" w:rsidRPr="00485458" w:rsidRDefault="00F83128" w:rsidP="00485458">
      <w:pPr>
        <w:tabs>
          <w:tab w:val="right" w:pos="9070"/>
        </w:tabs>
        <w:spacing w:after="0" w:line="36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sidR="00485458" w:rsidRPr="00485458">
        <w:rPr>
          <w:rFonts w:ascii="Times New Roman" w:eastAsia="Times New Roman" w:hAnsi="Times New Roman"/>
          <w:sz w:val="24"/>
          <w:szCs w:val="24"/>
          <w:lang w:val="en-US" w:eastAsia="pl-PL"/>
        </w:rPr>
        <w:t xml:space="preserve">The Contracting Authority does not expect significant amendments to the provisions of this Contract from the provisions of the bid, unless such </w:t>
      </w:r>
      <w:r w:rsidR="00200E46" w:rsidRPr="00200E46">
        <w:rPr>
          <w:rFonts w:ascii="Times New Roman" w:eastAsia="Times New Roman" w:hAnsi="Times New Roman"/>
          <w:sz w:val="24"/>
          <w:szCs w:val="24"/>
          <w:lang w:val="en-US" w:eastAsia="pl-PL"/>
        </w:rPr>
        <w:t>amendments</w:t>
      </w:r>
      <w:r w:rsidR="00485458" w:rsidRPr="00485458">
        <w:rPr>
          <w:rFonts w:ascii="Times New Roman" w:eastAsia="Times New Roman" w:hAnsi="Times New Roman"/>
          <w:sz w:val="24"/>
          <w:szCs w:val="24"/>
          <w:lang w:val="en-US" w:eastAsia="pl-PL"/>
        </w:rPr>
        <w:t xml:space="preserve"> involve a change in the amount of the flat remuneration due to the Contractor, which may be changed in the following cases:</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1)</w:t>
      </w:r>
      <w:r w:rsidRPr="00485458">
        <w:rPr>
          <w:rFonts w:ascii="Times New Roman" w:eastAsia="Times New Roman" w:hAnsi="Times New Roman"/>
          <w:sz w:val="24"/>
          <w:szCs w:val="24"/>
          <w:lang w:val="en-US" w:eastAsia="pl-PL"/>
        </w:rPr>
        <w:tab/>
        <w:t xml:space="preserve"> in case of change in the Value Added Tax (VAT) rate, as appropriate to the change introduced,</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2)</w:t>
      </w:r>
      <w:r w:rsidRPr="00485458">
        <w:rPr>
          <w:rFonts w:ascii="Times New Roman" w:eastAsia="Times New Roman" w:hAnsi="Times New Roman"/>
          <w:sz w:val="24"/>
          <w:szCs w:val="24"/>
          <w:lang w:val="en-US" w:eastAsia="pl-PL"/>
        </w:rPr>
        <w:tab/>
        <w:t xml:space="preserve"> </w:t>
      </w:r>
      <w:r w:rsidR="00200E46" w:rsidRPr="00200E46">
        <w:rPr>
          <w:rFonts w:ascii="Times New Roman" w:eastAsia="Times New Roman" w:hAnsi="Times New Roman"/>
          <w:sz w:val="24"/>
          <w:szCs w:val="24"/>
          <w:lang w:val="en-US" w:eastAsia="pl-PL"/>
        </w:rPr>
        <w:t>changes in the amount of minimum wage or minimum hourly pay rate based on  provisions of the Act of 10 Oc</w:t>
      </w:r>
      <w:r w:rsidR="00200E46">
        <w:rPr>
          <w:rFonts w:ascii="Times New Roman" w:eastAsia="Times New Roman" w:hAnsi="Times New Roman"/>
          <w:sz w:val="24"/>
          <w:szCs w:val="24"/>
          <w:lang w:val="en-US" w:eastAsia="pl-PL"/>
        </w:rPr>
        <w:t>tober 2002 on the  minimum wage</w:t>
      </w:r>
      <w:r w:rsidRPr="00485458">
        <w:rPr>
          <w:rFonts w:ascii="Times New Roman" w:eastAsia="Times New Roman" w:hAnsi="Times New Roman"/>
          <w:sz w:val="24"/>
          <w:szCs w:val="24"/>
          <w:lang w:val="en-US" w:eastAsia="pl-PL"/>
        </w:rPr>
        <w:t>,</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xml:space="preserve">3) </w:t>
      </w:r>
      <w:r w:rsidRPr="00485458">
        <w:rPr>
          <w:rFonts w:ascii="Times New Roman" w:eastAsia="Times New Roman" w:hAnsi="Times New Roman"/>
          <w:sz w:val="24"/>
          <w:szCs w:val="24"/>
          <w:lang w:val="en-US" w:eastAsia="pl-PL"/>
        </w:rPr>
        <w:tab/>
      </w:r>
      <w:r w:rsidR="00200E46" w:rsidRPr="00200E46">
        <w:rPr>
          <w:rFonts w:ascii="Times New Roman" w:eastAsia="Times New Roman" w:hAnsi="Times New Roman"/>
          <w:sz w:val="24"/>
          <w:szCs w:val="24"/>
          <w:lang w:val="en-US" w:eastAsia="pl-PL"/>
        </w:rPr>
        <w:t>changes in the  rules on social insurance or health insurance or the rate of social security or health insurance contributions</w:t>
      </w:r>
    </w:p>
    <w:p w:rsidR="00485458" w:rsidRPr="00485458" w:rsidRDefault="00485458" w:rsidP="00485458">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if these changes will affect the cost of performance of the contract by the Contractor, according to which the Parties agree, that changes to the applicable laws referred to in items (2) and (3) of this paragraph shall apply to persons performing the Object of the Contract, and at the same time the Contractor shall demonstrate to the Contracting Authority that such changes affect the cost of performance of the Contract by the Contractor. For this purpose, the Contractor is entitled to apply to the Contracting Authority for a change of remuneration, submitting relevant documents confirming the validity of the submission of such a request. In such a case, the Contractor shall show in the submitted application and the documents attached thereto that the change of generally applicable law has a direct impact on the costs of performance of the Object of the Contract and the extent to which the change has affected the amount of the Contractor's remuneration.</w:t>
      </w:r>
    </w:p>
    <w:p w:rsidR="00AE7F23" w:rsidRDefault="00485458" w:rsidP="00557000">
      <w:pPr>
        <w:tabs>
          <w:tab w:val="right" w:pos="9070"/>
        </w:tabs>
        <w:spacing w:after="0" w:line="360" w:lineRule="auto"/>
        <w:jc w:val="both"/>
        <w:rPr>
          <w:rFonts w:ascii="Times New Roman" w:eastAsia="Times New Roman" w:hAnsi="Times New Roman"/>
          <w:sz w:val="24"/>
          <w:szCs w:val="24"/>
          <w:lang w:val="en-US" w:eastAsia="pl-PL"/>
        </w:rPr>
      </w:pPr>
      <w:r w:rsidRPr="00485458">
        <w:rPr>
          <w:rFonts w:ascii="Times New Roman" w:eastAsia="Times New Roman" w:hAnsi="Times New Roman"/>
          <w:sz w:val="24"/>
          <w:szCs w:val="24"/>
          <w:lang w:val="en-US" w:eastAsia="pl-PL"/>
        </w:rPr>
        <w:t xml:space="preserve">In case of the change referred to in item 1), the gross remuneration of the Contractor will be changed in accordance with the introduced change in the rate of VAT on goods and services. In case of the change referred to in item 2), the remuneration of the Contractor shall be changed by the value resulting from the increase of the remuneration of the persons performing the Object of the Contract up to the amount of the current minimum wage, taking into account rates of social security or health insurance </w:t>
      </w:r>
      <w:r w:rsidR="00200E46" w:rsidRPr="00200E46">
        <w:rPr>
          <w:rFonts w:ascii="Times New Roman" w:eastAsia="Times New Roman" w:hAnsi="Times New Roman"/>
          <w:sz w:val="24"/>
          <w:szCs w:val="24"/>
          <w:lang w:val="en-US" w:eastAsia="pl-PL"/>
        </w:rPr>
        <w:t>contributions</w:t>
      </w:r>
      <w:r w:rsidRPr="00485458">
        <w:rPr>
          <w:rFonts w:ascii="Times New Roman" w:eastAsia="Times New Roman" w:hAnsi="Times New Roman"/>
          <w:sz w:val="24"/>
          <w:szCs w:val="24"/>
          <w:lang w:val="en-US" w:eastAsia="pl-PL"/>
        </w:rPr>
        <w:t xml:space="preserve"> of the amount of minimum wage. In the case </w:t>
      </w:r>
      <w:r w:rsidRPr="00485458">
        <w:rPr>
          <w:rFonts w:ascii="Times New Roman" w:eastAsia="Times New Roman" w:hAnsi="Times New Roman"/>
          <w:sz w:val="24"/>
          <w:szCs w:val="24"/>
          <w:lang w:val="en-US" w:eastAsia="pl-PL"/>
        </w:rPr>
        <w:lastRenderedPageBreak/>
        <w:t xml:space="preserve">of the change referred to in item 3), the remuneration of the Contractor shall be changed in accordance to the change of the social insurance and health insurance </w:t>
      </w:r>
      <w:r w:rsidR="00200E46" w:rsidRPr="00200E46">
        <w:rPr>
          <w:rFonts w:ascii="Times New Roman" w:eastAsia="Times New Roman" w:hAnsi="Times New Roman"/>
          <w:sz w:val="24"/>
          <w:szCs w:val="24"/>
          <w:lang w:val="en-US" w:eastAsia="pl-PL"/>
        </w:rPr>
        <w:t>rules</w:t>
      </w:r>
      <w:r w:rsidRPr="00485458">
        <w:rPr>
          <w:rFonts w:ascii="Times New Roman" w:eastAsia="Times New Roman" w:hAnsi="Times New Roman"/>
          <w:sz w:val="24"/>
          <w:szCs w:val="24"/>
          <w:lang w:val="en-US" w:eastAsia="pl-PL"/>
        </w:rPr>
        <w:t xml:space="preserve"> or shall be changed by the increase resulting from the increase of the social security and health insurance </w:t>
      </w:r>
      <w:r w:rsidR="00200E46" w:rsidRPr="00200E46">
        <w:rPr>
          <w:rFonts w:ascii="Times New Roman" w:eastAsia="Times New Roman" w:hAnsi="Times New Roman"/>
          <w:sz w:val="24"/>
          <w:szCs w:val="24"/>
          <w:lang w:val="en-US" w:eastAsia="pl-PL"/>
        </w:rPr>
        <w:t>contributions</w:t>
      </w:r>
      <w:r w:rsidRPr="00485458">
        <w:rPr>
          <w:rFonts w:ascii="Times New Roman" w:eastAsia="Times New Roman" w:hAnsi="Times New Roman"/>
          <w:sz w:val="24"/>
          <w:szCs w:val="24"/>
          <w:lang w:val="en-US" w:eastAsia="pl-PL"/>
        </w:rPr>
        <w:t xml:space="preserve"> of persons performing the Object of the Contract to the amount of currently viable rates of social security and health insurance </w:t>
      </w:r>
      <w:r w:rsidR="00200E46" w:rsidRPr="00200E46">
        <w:rPr>
          <w:rFonts w:ascii="Times New Roman" w:eastAsia="Times New Roman" w:hAnsi="Times New Roman"/>
          <w:sz w:val="24"/>
          <w:szCs w:val="24"/>
          <w:lang w:val="en-US" w:eastAsia="pl-PL"/>
        </w:rPr>
        <w:t>contributions</w:t>
      </w:r>
      <w:r w:rsidRPr="00485458">
        <w:rPr>
          <w:rFonts w:ascii="Times New Roman" w:eastAsia="Times New Roman" w:hAnsi="Times New Roman"/>
          <w:sz w:val="24"/>
          <w:szCs w:val="24"/>
          <w:lang w:val="en-US" w:eastAsia="pl-PL"/>
        </w:rPr>
        <w:t>. In case of the change in the remuneration provided for in this paragraph, this change shall take effect from the date on which the changes in the generally applicable law, which caused this change, enter into force.</w:t>
      </w:r>
      <w:r w:rsidR="00F83128">
        <w:rPr>
          <w:rFonts w:ascii="Times New Roman" w:eastAsia="Times New Roman" w:hAnsi="Times New Roman"/>
          <w:sz w:val="24"/>
          <w:szCs w:val="24"/>
          <w:lang w:val="en-US" w:eastAsia="pl-PL"/>
        </w:rPr>
        <w:t>”</w:t>
      </w:r>
    </w:p>
    <w:p w:rsidR="00A66172" w:rsidRPr="00EB3A0F" w:rsidRDefault="00A66172" w:rsidP="00557000">
      <w:pPr>
        <w:tabs>
          <w:tab w:val="right" w:pos="9070"/>
        </w:tabs>
        <w:spacing w:after="0" w:line="360" w:lineRule="auto"/>
        <w:jc w:val="both"/>
        <w:rPr>
          <w:rFonts w:ascii="Times New Roman" w:eastAsia="Times New Roman" w:hAnsi="Times New Roman"/>
          <w:sz w:val="24"/>
          <w:szCs w:val="24"/>
          <w:lang w:val="en-US" w:eastAsia="pl-PL"/>
        </w:rPr>
      </w:pPr>
    </w:p>
    <w:p w:rsidR="00547D8A" w:rsidRDefault="003B2E12" w:rsidP="003B2E12">
      <w:pPr>
        <w:pStyle w:val="Akapitzlist"/>
        <w:numPr>
          <w:ilvl w:val="0"/>
          <w:numId w:val="27"/>
        </w:numPr>
        <w:spacing w:after="0" w:line="360" w:lineRule="auto"/>
        <w:jc w:val="both"/>
        <w:rPr>
          <w:rFonts w:ascii="Times New Roman" w:eastAsia="Times New Roman" w:hAnsi="Times New Roman"/>
          <w:sz w:val="24"/>
          <w:szCs w:val="24"/>
          <w:lang w:val="en-US" w:eastAsia="pl-PL"/>
        </w:rPr>
      </w:pPr>
      <w:r w:rsidRPr="003B2E12">
        <w:rPr>
          <w:rFonts w:ascii="Times New Roman" w:eastAsia="Times New Roman" w:hAnsi="Times New Roman"/>
          <w:sz w:val="24"/>
          <w:szCs w:val="24"/>
          <w:lang w:val="en-US" w:eastAsia="pl-PL"/>
        </w:rPr>
        <w:t xml:space="preserve">In the translation of the Terms of Reference </w:t>
      </w:r>
      <w:r w:rsidR="00EF26C0">
        <w:rPr>
          <w:rFonts w:ascii="Times New Roman" w:eastAsia="Times New Roman" w:hAnsi="Times New Roman"/>
          <w:sz w:val="24"/>
          <w:szCs w:val="24"/>
          <w:lang w:val="en-US" w:eastAsia="pl-PL"/>
        </w:rPr>
        <w:t xml:space="preserve">with the attachments </w:t>
      </w:r>
      <w:r w:rsidRPr="003B2E12">
        <w:rPr>
          <w:rFonts w:ascii="Times New Roman" w:eastAsia="Times New Roman" w:hAnsi="Times New Roman"/>
          <w:sz w:val="24"/>
          <w:szCs w:val="24"/>
          <w:lang w:val="en-US" w:eastAsia="pl-PL"/>
        </w:rPr>
        <w:t>all occurrences of the term “Sample contract” a</w:t>
      </w:r>
      <w:r>
        <w:rPr>
          <w:rFonts w:ascii="Times New Roman" w:eastAsia="Times New Roman" w:hAnsi="Times New Roman"/>
          <w:sz w:val="24"/>
          <w:szCs w:val="24"/>
          <w:lang w:val="en-US" w:eastAsia="pl-PL"/>
        </w:rPr>
        <w:t>re replaced by the term “Draft C</w:t>
      </w:r>
      <w:r w:rsidRPr="003B2E12">
        <w:rPr>
          <w:rFonts w:ascii="Times New Roman" w:eastAsia="Times New Roman" w:hAnsi="Times New Roman"/>
          <w:sz w:val="24"/>
          <w:szCs w:val="24"/>
          <w:lang w:val="en-US" w:eastAsia="pl-PL"/>
        </w:rPr>
        <w:t>ontract”</w:t>
      </w:r>
      <w:r w:rsidR="00547D8A" w:rsidRPr="00547D8A">
        <w:rPr>
          <w:rFonts w:ascii="Times New Roman" w:eastAsia="Times New Roman" w:hAnsi="Times New Roman"/>
          <w:sz w:val="24"/>
          <w:szCs w:val="24"/>
          <w:lang w:val="en-US" w:eastAsia="pl-PL"/>
        </w:rPr>
        <w:t>.</w:t>
      </w:r>
    </w:p>
    <w:p w:rsidR="00547D8A" w:rsidRPr="00547D8A" w:rsidRDefault="00547D8A" w:rsidP="00547D8A">
      <w:pPr>
        <w:pStyle w:val="Akapitzlist"/>
        <w:spacing w:after="0" w:line="360" w:lineRule="auto"/>
        <w:ind w:left="360"/>
        <w:jc w:val="both"/>
        <w:rPr>
          <w:rFonts w:ascii="Times New Roman" w:eastAsia="Times New Roman" w:hAnsi="Times New Roman"/>
          <w:sz w:val="24"/>
          <w:szCs w:val="24"/>
          <w:lang w:val="en-US" w:eastAsia="pl-PL"/>
        </w:rPr>
      </w:pPr>
    </w:p>
    <w:p w:rsidR="00547D8A" w:rsidRPr="00547D8A" w:rsidRDefault="00EB3A0F" w:rsidP="00547D8A">
      <w:pPr>
        <w:pStyle w:val="Akapitzlist"/>
        <w:numPr>
          <w:ilvl w:val="0"/>
          <w:numId w:val="27"/>
        </w:numPr>
        <w:spacing w:after="0" w:line="360" w:lineRule="auto"/>
        <w:jc w:val="both"/>
        <w:rPr>
          <w:rFonts w:ascii="Times New Roman" w:eastAsia="Times New Roman" w:hAnsi="Times New Roman"/>
          <w:sz w:val="24"/>
          <w:szCs w:val="24"/>
          <w:u w:val="single"/>
          <w:lang w:val="en-US" w:eastAsia="pl-PL"/>
        </w:rPr>
      </w:pPr>
      <w:r w:rsidRPr="004F361D">
        <w:rPr>
          <w:rFonts w:ascii="Times New Roman" w:eastAsia="Times New Roman" w:hAnsi="Times New Roman"/>
          <w:sz w:val="24"/>
          <w:szCs w:val="24"/>
          <w:lang w:val="en-US" w:eastAsia="pl-PL"/>
        </w:rPr>
        <w:t xml:space="preserve">The change to </w:t>
      </w:r>
      <w:r w:rsidR="00536496">
        <w:rPr>
          <w:rFonts w:ascii="Times New Roman" w:eastAsia="Times New Roman" w:hAnsi="Times New Roman"/>
          <w:sz w:val="24"/>
          <w:szCs w:val="24"/>
          <w:lang w:val="en-US" w:eastAsia="pl-PL"/>
        </w:rPr>
        <w:t xml:space="preserve">the </w:t>
      </w:r>
      <w:r w:rsidR="00547D8A" w:rsidRPr="00547D8A">
        <w:rPr>
          <w:rFonts w:ascii="Times New Roman" w:eastAsia="Times New Roman" w:hAnsi="Times New Roman"/>
          <w:sz w:val="24"/>
          <w:szCs w:val="24"/>
          <w:lang w:val="en-US" w:eastAsia="pl-PL"/>
        </w:rPr>
        <w:t>translation of the</w:t>
      </w:r>
      <w:r w:rsidRPr="004F361D">
        <w:rPr>
          <w:rFonts w:ascii="Times New Roman" w:eastAsia="Times New Roman" w:hAnsi="Times New Roman"/>
          <w:sz w:val="24"/>
          <w:szCs w:val="24"/>
          <w:lang w:val="en-US" w:eastAsia="pl-PL"/>
        </w:rPr>
        <w:t xml:space="preserve"> </w:t>
      </w:r>
      <w:proofErr w:type="spellStart"/>
      <w:r w:rsidRPr="004F361D">
        <w:rPr>
          <w:rFonts w:ascii="Times New Roman" w:eastAsia="Times New Roman" w:hAnsi="Times New Roman"/>
          <w:sz w:val="24"/>
          <w:szCs w:val="24"/>
          <w:lang w:val="en-US" w:eastAsia="pl-PL"/>
        </w:rPr>
        <w:t>ToR</w:t>
      </w:r>
      <w:proofErr w:type="spellEnd"/>
      <w:r w:rsidRPr="004F361D">
        <w:rPr>
          <w:rFonts w:ascii="Times New Roman" w:eastAsia="Times New Roman" w:hAnsi="Times New Roman"/>
          <w:sz w:val="24"/>
          <w:szCs w:val="24"/>
          <w:lang w:val="en-US" w:eastAsia="pl-PL"/>
        </w:rPr>
        <w:t xml:space="preserve"> (pursuant to Article 38 Section 4 of the PPL) shall be posted by the Contracting Authority on the website in the "Public procurement" („</w:t>
      </w:r>
      <w:proofErr w:type="spellStart"/>
      <w:r w:rsidRPr="004F361D">
        <w:rPr>
          <w:rFonts w:ascii="Times New Roman" w:eastAsia="Times New Roman" w:hAnsi="Times New Roman"/>
          <w:sz w:val="24"/>
          <w:szCs w:val="24"/>
          <w:lang w:val="en-US" w:eastAsia="pl-PL"/>
        </w:rPr>
        <w:t>Zamówienia</w:t>
      </w:r>
      <w:proofErr w:type="spellEnd"/>
      <w:r w:rsidRPr="004F361D">
        <w:rPr>
          <w:rFonts w:ascii="Times New Roman" w:eastAsia="Times New Roman" w:hAnsi="Times New Roman"/>
          <w:sz w:val="24"/>
          <w:szCs w:val="24"/>
          <w:lang w:val="en-US" w:eastAsia="pl-PL"/>
        </w:rPr>
        <w:t xml:space="preserve"> </w:t>
      </w:r>
      <w:proofErr w:type="spellStart"/>
      <w:r w:rsidRPr="004F361D">
        <w:rPr>
          <w:rFonts w:ascii="Times New Roman" w:eastAsia="Times New Roman" w:hAnsi="Times New Roman"/>
          <w:sz w:val="24"/>
          <w:szCs w:val="24"/>
          <w:lang w:val="en-US" w:eastAsia="pl-PL"/>
        </w:rPr>
        <w:t>publiczne</w:t>
      </w:r>
      <w:proofErr w:type="spellEnd"/>
      <w:r w:rsidRPr="004F361D">
        <w:rPr>
          <w:rFonts w:ascii="Times New Roman" w:eastAsia="Times New Roman" w:hAnsi="Times New Roman"/>
          <w:sz w:val="24"/>
          <w:szCs w:val="24"/>
          <w:lang w:val="en-US" w:eastAsia="pl-PL"/>
        </w:rPr>
        <w:t xml:space="preserve">”) tab: </w:t>
      </w:r>
      <w:hyperlink r:id="rId7" w:history="1">
        <w:r w:rsidRPr="004F361D">
          <w:rPr>
            <w:rStyle w:val="Hipercze"/>
            <w:rFonts w:ascii="Times New Roman" w:eastAsia="Times New Roman" w:hAnsi="Times New Roman"/>
            <w:color w:val="auto"/>
            <w:sz w:val="24"/>
            <w:szCs w:val="24"/>
            <w:lang w:val="en-US" w:eastAsia="pl-PL"/>
          </w:rPr>
          <w:t>http://bn.org.pl/bip/zamowienia-publiczne</w:t>
        </w:r>
      </w:hyperlink>
      <w:r w:rsidRPr="004F361D">
        <w:rPr>
          <w:rFonts w:ascii="Times New Roman" w:eastAsia="Times New Roman" w:hAnsi="Times New Roman"/>
          <w:sz w:val="24"/>
          <w:szCs w:val="24"/>
          <w:lang w:val="en-US" w:eastAsia="pl-PL"/>
        </w:rPr>
        <w:t xml:space="preserve">. </w:t>
      </w:r>
    </w:p>
    <w:sectPr w:rsidR="00547D8A" w:rsidRPr="00547D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3E" w:rsidRDefault="00D3313E" w:rsidP="00A134B2">
      <w:pPr>
        <w:spacing w:after="0" w:line="240" w:lineRule="auto"/>
      </w:pPr>
      <w:r>
        <w:separator/>
      </w:r>
    </w:p>
  </w:endnote>
  <w:endnote w:type="continuationSeparator" w:id="0">
    <w:p w:rsidR="00D3313E" w:rsidRDefault="00D3313E"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3E" w:rsidRDefault="00D3313E" w:rsidP="00A134B2">
      <w:pPr>
        <w:spacing w:after="0" w:line="240" w:lineRule="auto"/>
      </w:pPr>
      <w:r>
        <w:separator/>
      </w:r>
    </w:p>
  </w:footnote>
  <w:footnote w:type="continuationSeparator" w:id="0">
    <w:p w:rsidR="00D3313E" w:rsidRDefault="00D3313E" w:rsidP="00A1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12906"/>
      <w:docPartObj>
        <w:docPartGallery w:val="Page Numbers (Top of Page)"/>
        <w:docPartUnique/>
      </w:docPartObj>
    </w:sdtPr>
    <w:sdtEndPr/>
    <w:sdtContent>
      <w:p w:rsidR="00122E91" w:rsidRDefault="00122E91">
        <w:pPr>
          <w:pStyle w:val="Nagwek"/>
          <w:jc w:val="right"/>
        </w:pPr>
        <w:r>
          <w:fldChar w:fldCharType="begin"/>
        </w:r>
        <w:r>
          <w:instrText>PAGE   \* MERGEFORMAT</w:instrText>
        </w:r>
        <w:r>
          <w:fldChar w:fldCharType="separate"/>
        </w:r>
        <w:r w:rsidR="001C2529">
          <w:rPr>
            <w:noProof/>
          </w:rPr>
          <w:t>1</w:t>
        </w:r>
        <w:r>
          <w:fldChar w:fldCharType="end"/>
        </w:r>
      </w:p>
    </w:sdtContent>
  </w:sdt>
  <w:p w:rsidR="00DB56B3" w:rsidRDefault="00DB56B3" w:rsidP="00122E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D33"/>
    <w:multiLevelType w:val="hybridMultilevel"/>
    <w:tmpl w:val="3C18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305A5"/>
    <w:multiLevelType w:val="hybridMultilevel"/>
    <w:tmpl w:val="651AF1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B6589E"/>
    <w:multiLevelType w:val="hybridMultilevel"/>
    <w:tmpl w:val="40B850A4"/>
    <w:lvl w:ilvl="0" w:tplc="F7B8121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561E2"/>
    <w:multiLevelType w:val="hybridMultilevel"/>
    <w:tmpl w:val="57642BFC"/>
    <w:lvl w:ilvl="0" w:tplc="FE2A1BD0">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92538"/>
    <w:multiLevelType w:val="hybridMultilevel"/>
    <w:tmpl w:val="33161D80"/>
    <w:lvl w:ilvl="0" w:tplc="A600C0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31733"/>
    <w:multiLevelType w:val="hybridMultilevel"/>
    <w:tmpl w:val="86F01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405B46"/>
    <w:multiLevelType w:val="hybridMultilevel"/>
    <w:tmpl w:val="E4C29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96107A"/>
    <w:multiLevelType w:val="hybridMultilevel"/>
    <w:tmpl w:val="A02EA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661F6"/>
    <w:multiLevelType w:val="hybridMultilevel"/>
    <w:tmpl w:val="1CC2984C"/>
    <w:lvl w:ilvl="0" w:tplc="EFE01932">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88E0485"/>
    <w:multiLevelType w:val="hybridMultilevel"/>
    <w:tmpl w:val="0E0AE73C"/>
    <w:lvl w:ilvl="0" w:tplc="4DD43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E974D7"/>
    <w:multiLevelType w:val="hybridMultilevel"/>
    <w:tmpl w:val="06EABDB4"/>
    <w:lvl w:ilvl="0" w:tplc="942AA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A43046"/>
    <w:multiLevelType w:val="hybridMultilevel"/>
    <w:tmpl w:val="C3E843C6"/>
    <w:lvl w:ilvl="0" w:tplc="8C3E9C46">
      <w:start w:val="1"/>
      <w:numFmt w:val="decimal"/>
      <w:lvlText w:val="%1)"/>
      <w:lvlJc w:val="left"/>
      <w:pPr>
        <w:ind w:left="720" w:hanging="360"/>
      </w:pPr>
      <w:rPr>
        <w:rFonts w:ascii="Times New Roman" w:eastAsia="Calibri"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1921A6"/>
    <w:multiLevelType w:val="hybridMultilevel"/>
    <w:tmpl w:val="4D9CCD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80E46"/>
    <w:multiLevelType w:val="hybridMultilevel"/>
    <w:tmpl w:val="A6C45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D92232"/>
    <w:multiLevelType w:val="hybridMultilevel"/>
    <w:tmpl w:val="1DAA5DA4"/>
    <w:lvl w:ilvl="0" w:tplc="A600C0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5B619D"/>
    <w:multiLevelType w:val="hybridMultilevel"/>
    <w:tmpl w:val="43EACFB0"/>
    <w:lvl w:ilvl="0" w:tplc="BF76B1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0035B"/>
    <w:multiLevelType w:val="hybridMultilevel"/>
    <w:tmpl w:val="93FA4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C056D"/>
    <w:multiLevelType w:val="hybridMultilevel"/>
    <w:tmpl w:val="98BE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0B4811"/>
    <w:multiLevelType w:val="hybridMultilevel"/>
    <w:tmpl w:val="C9F68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6E6E2B"/>
    <w:multiLevelType w:val="hybridMultilevel"/>
    <w:tmpl w:val="8FAE7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DD5559"/>
    <w:multiLevelType w:val="hybridMultilevel"/>
    <w:tmpl w:val="5A862D46"/>
    <w:lvl w:ilvl="0" w:tplc="69F2DFFC">
      <w:start w:val="1"/>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4809E5"/>
    <w:multiLevelType w:val="hybridMultilevel"/>
    <w:tmpl w:val="A83C9076"/>
    <w:lvl w:ilvl="0" w:tplc="BB44BE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137F77"/>
    <w:multiLevelType w:val="hybridMultilevel"/>
    <w:tmpl w:val="15768FEE"/>
    <w:lvl w:ilvl="0" w:tplc="185A77F0">
      <w:start w:val="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AC46B4"/>
    <w:multiLevelType w:val="hybridMultilevel"/>
    <w:tmpl w:val="68AC2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B197D"/>
    <w:multiLevelType w:val="hybridMultilevel"/>
    <w:tmpl w:val="2B66772C"/>
    <w:lvl w:ilvl="0" w:tplc="5A980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40948"/>
    <w:multiLevelType w:val="hybridMultilevel"/>
    <w:tmpl w:val="8512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7"/>
  </w:num>
  <w:num w:numId="6">
    <w:abstractNumId w:val="5"/>
  </w:num>
  <w:num w:numId="7">
    <w:abstractNumId w:val="0"/>
  </w:num>
  <w:num w:numId="8">
    <w:abstractNumId w:val="13"/>
  </w:num>
  <w:num w:numId="9">
    <w:abstractNumId w:val="25"/>
  </w:num>
  <w:num w:numId="10">
    <w:abstractNumId w:val="20"/>
  </w:num>
  <w:num w:numId="11">
    <w:abstractNumId w:val="10"/>
  </w:num>
  <w:num w:numId="12">
    <w:abstractNumId w:val="1"/>
  </w:num>
  <w:num w:numId="13">
    <w:abstractNumId w:val="23"/>
  </w:num>
  <w:num w:numId="14">
    <w:abstractNumId w:val="18"/>
  </w:num>
  <w:num w:numId="15">
    <w:abstractNumId w:val="19"/>
  </w:num>
  <w:num w:numId="16">
    <w:abstractNumId w:val="16"/>
  </w:num>
  <w:num w:numId="17">
    <w:abstractNumId w:val="9"/>
  </w:num>
  <w:num w:numId="18">
    <w:abstractNumId w:val="24"/>
  </w:num>
  <w:num w:numId="19">
    <w:abstractNumId w:val="15"/>
  </w:num>
  <w:num w:numId="20">
    <w:abstractNumId w:val="3"/>
  </w:num>
  <w:num w:numId="21">
    <w:abstractNumId w:val="21"/>
  </w:num>
  <w:num w:numId="22">
    <w:abstractNumId w:val="4"/>
  </w:num>
  <w:num w:numId="23">
    <w:abstractNumId w:val="14"/>
  </w:num>
  <w:num w:numId="24">
    <w:abstractNumId w:val="6"/>
  </w:num>
  <w:num w:numId="25">
    <w:abstractNumId w:val="2"/>
  </w:num>
  <w:num w:numId="26">
    <w:abstractNumId w:val="12"/>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2"/>
    <w:rsid w:val="00002FB4"/>
    <w:rsid w:val="00013F3D"/>
    <w:rsid w:val="000173E0"/>
    <w:rsid w:val="000214B9"/>
    <w:rsid w:val="00044351"/>
    <w:rsid w:val="00050B42"/>
    <w:rsid w:val="00062AF1"/>
    <w:rsid w:val="000634D9"/>
    <w:rsid w:val="00084D46"/>
    <w:rsid w:val="00091B65"/>
    <w:rsid w:val="00093080"/>
    <w:rsid w:val="000B0CC7"/>
    <w:rsid w:val="000E6948"/>
    <w:rsid w:val="000F2964"/>
    <w:rsid w:val="00103D01"/>
    <w:rsid w:val="00103F14"/>
    <w:rsid w:val="00104052"/>
    <w:rsid w:val="00116ECF"/>
    <w:rsid w:val="00122E91"/>
    <w:rsid w:val="00147689"/>
    <w:rsid w:val="0016349B"/>
    <w:rsid w:val="001739D2"/>
    <w:rsid w:val="001828CE"/>
    <w:rsid w:val="00183604"/>
    <w:rsid w:val="00186293"/>
    <w:rsid w:val="001924B1"/>
    <w:rsid w:val="001A7535"/>
    <w:rsid w:val="001C18E8"/>
    <w:rsid w:val="001C2529"/>
    <w:rsid w:val="001F2C7A"/>
    <w:rsid w:val="00200E46"/>
    <w:rsid w:val="002028D0"/>
    <w:rsid w:val="00235F60"/>
    <w:rsid w:val="002570F7"/>
    <w:rsid w:val="00266431"/>
    <w:rsid w:val="00266AC3"/>
    <w:rsid w:val="002730B9"/>
    <w:rsid w:val="00285542"/>
    <w:rsid w:val="00286B0F"/>
    <w:rsid w:val="00287431"/>
    <w:rsid w:val="00295001"/>
    <w:rsid w:val="0029576D"/>
    <w:rsid w:val="002C216B"/>
    <w:rsid w:val="002C2FCB"/>
    <w:rsid w:val="00384DB2"/>
    <w:rsid w:val="003B2E12"/>
    <w:rsid w:val="003F570F"/>
    <w:rsid w:val="00403F34"/>
    <w:rsid w:val="00413F05"/>
    <w:rsid w:val="00437E90"/>
    <w:rsid w:val="0044026E"/>
    <w:rsid w:val="0044283C"/>
    <w:rsid w:val="004477E6"/>
    <w:rsid w:val="00457B7E"/>
    <w:rsid w:val="00475E1B"/>
    <w:rsid w:val="00485458"/>
    <w:rsid w:val="004C4E78"/>
    <w:rsid w:val="004D3CBD"/>
    <w:rsid w:val="004D4D23"/>
    <w:rsid w:val="004E55C6"/>
    <w:rsid w:val="004F361D"/>
    <w:rsid w:val="00536496"/>
    <w:rsid w:val="00547D8A"/>
    <w:rsid w:val="00557000"/>
    <w:rsid w:val="00585DC4"/>
    <w:rsid w:val="005B7ED0"/>
    <w:rsid w:val="005C69DD"/>
    <w:rsid w:val="0063050B"/>
    <w:rsid w:val="00667780"/>
    <w:rsid w:val="00684560"/>
    <w:rsid w:val="00694A71"/>
    <w:rsid w:val="006B4F0B"/>
    <w:rsid w:val="006C54D7"/>
    <w:rsid w:val="006D5FDD"/>
    <w:rsid w:val="0072451C"/>
    <w:rsid w:val="007307D7"/>
    <w:rsid w:val="00765B28"/>
    <w:rsid w:val="00767445"/>
    <w:rsid w:val="007A016B"/>
    <w:rsid w:val="007A410B"/>
    <w:rsid w:val="00802871"/>
    <w:rsid w:val="008029DB"/>
    <w:rsid w:val="008B45C9"/>
    <w:rsid w:val="008F79DC"/>
    <w:rsid w:val="0090732C"/>
    <w:rsid w:val="00943702"/>
    <w:rsid w:val="00943A1D"/>
    <w:rsid w:val="009471BE"/>
    <w:rsid w:val="00956C64"/>
    <w:rsid w:val="00957648"/>
    <w:rsid w:val="009B0AA6"/>
    <w:rsid w:val="00A058E7"/>
    <w:rsid w:val="00A07AA3"/>
    <w:rsid w:val="00A134B2"/>
    <w:rsid w:val="00A42196"/>
    <w:rsid w:val="00A66172"/>
    <w:rsid w:val="00A67DB4"/>
    <w:rsid w:val="00A931FE"/>
    <w:rsid w:val="00AE67CC"/>
    <w:rsid w:val="00AE7F23"/>
    <w:rsid w:val="00AF48D8"/>
    <w:rsid w:val="00B13677"/>
    <w:rsid w:val="00B273DA"/>
    <w:rsid w:val="00B420E4"/>
    <w:rsid w:val="00B80D64"/>
    <w:rsid w:val="00BA2F7E"/>
    <w:rsid w:val="00BE5503"/>
    <w:rsid w:val="00C33C4E"/>
    <w:rsid w:val="00C45C22"/>
    <w:rsid w:val="00C466A5"/>
    <w:rsid w:val="00C8392B"/>
    <w:rsid w:val="00CC10A0"/>
    <w:rsid w:val="00CC137E"/>
    <w:rsid w:val="00CE7D64"/>
    <w:rsid w:val="00D2322F"/>
    <w:rsid w:val="00D3313E"/>
    <w:rsid w:val="00D8368B"/>
    <w:rsid w:val="00DA3B2B"/>
    <w:rsid w:val="00DB56B3"/>
    <w:rsid w:val="00DC111C"/>
    <w:rsid w:val="00DE0443"/>
    <w:rsid w:val="00E90594"/>
    <w:rsid w:val="00E9082C"/>
    <w:rsid w:val="00EB3A0F"/>
    <w:rsid w:val="00ED0B3F"/>
    <w:rsid w:val="00EF1EC7"/>
    <w:rsid w:val="00EF26C0"/>
    <w:rsid w:val="00F4151C"/>
    <w:rsid w:val="00F73219"/>
    <w:rsid w:val="00F83128"/>
    <w:rsid w:val="00FB068A"/>
    <w:rsid w:val="00FB1201"/>
    <w:rsid w:val="00FB1A2B"/>
    <w:rsid w:val="00FD4714"/>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964"/>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styleId="Akapitzlist">
    <w:name w:val="List Paragraph"/>
    <w:aliases w:val="Preambuła,Podsis rysunku,Numerowanie,List Paragraph,L1,Akapit z listą5"/>
    <w:basedOn w:val="Normalny"/>
    <w:link w:val="AkapitzlistZnak"/>
    <w:uiPriority w:val="34"/>
    <w:qFormat/>
    <w:rsid w:val="0016349B"/>
    <w:pPr>
      <w:ind w:left="720"/>
      <w:contextualSpacing/>
    </w:pPr>
  </w:style>
  <w:style w:type="character" w:styleId="Hipercze">
    <w:name w:val="Hyperlink"/>
    <w:unhideWhenUsed/>
    <w:rsid w:val="00122E91"/>
    <w:rPr>
      <w:color w:val="0000FF"/>
      <w:u w:val="single"/>
    </w:rPr>
  </w:style>
  <w:style w:type="character" w:customStyle="1" w:styleId="AkapitzlistZnak">
    <w:name w:val="Akapit z listą Znak"/>
    <w:aliases w:val="Preambuła Znak,Podsis rysunku Znak,Numerowanie Znak,List Paragraph Znak,L1 Znak,Akapit z listą5 Znak"/>
    <w:link w:val="Akapitzlist"/>
    <w:uiPriority w:val="34"/>
    <w:qFormat/>
    <w:locked/>
    <w:rsid w:val="0012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2667</Words>
  <Characters>16006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2017-11-27T15:17:00Z</dcterms:created>
  <dcterms:modified xsi:type="dcterms:W3CDTF">2017-11-27T15:17:00Z</dcterms:modified>
</cp:coreProperties>
</file>