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5D" w:rsidRPr="00C2516B" w:rsidRDefault="006471B6" w:rsidP="006471B6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bookmarkStart w:id="0" w:name="_Toc487650359"/>
      <w:bookmarkStart w:id="1" w:name="_GoBack"/>
      <w:bookmarkEnd w:id="1"/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Znak sprawy: XIV/264/</w:t>
      </w:r>
      <w:r w:rsidRPr="00C2516B">
        <w:rPr>
          <w:rFonts w:ascii="Calibri" w:eastAsia="Calibri" w:hAnsi="Calibri" w:cs="Times New Roman"/>
          <w:b/>
          <w:strike/>
          <w:color w:val="FF0000"/>
          <w:sz w:val="24"/>
          <w:szCs w:val="24"/>
        </w:rPr>
        <w:t>14</w:t>
      </w: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/17</w:t>
      </w: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ab/>
      </w: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ab/>
      </w: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ab/>
      </w: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ab/>
      </w: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ab/>
      </w: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ab/>
        <w:t>Załącznik nr 1 do SIWZ</w:t>
      </w:r>
    </w:p>
    <w:p w:rsidR="00541B5D" w:rsidRPr="0046458D" w:rsidRDefault="00C2516B" w:rsidP="00541B5D">
      <w:pPr>
        <w:spacing w:after="0" w:line="360" w:lineRule="auto"/>
        <w:jc w:val="center"/>
        <w:rPr>
          <w:rFonts w:ascii="Calibri" w:eastAsia="Calibri" w:hAnsi="Calibri" w:cs="Times New Roman"/>
          <w:b/>
          <w:sz w:val="36"/>
          <w:szCs w:val="24"/>
        </w:rPr>
      </w:pPr>
      <w:r w:rsidRPr="0046458D">
        <w:rPr>
          <w:rFonts w:ascii="Calibri" w:eastAsia="Calibri" w:hAnsi="Calibri" w:cs="Times New Roman"/>
          <w:b/>
          <w:sz w:val="36"/>
          <w:szCs w:val="24"/>
        </w:rPr>
        <w:t>NIEAKTUALNY</w:t>
      </w:r>
    </w:p>
    <w:p w:rsidR="00541B5D" w:rsidRPr="00C2516B" w:rsidRDefault="00541B5D" w:rsidP="00541B5D">
      <w:pPr>
        <w:spacing w:after="0" w:line="360" w:lineRule="auto"/>
        <w:jc w:val="center"/>
        <w:rPr>
          <w:rFonts w:ascii="Calibri" w:eastAsia="Calibri" w:hAnsi="Calibri" w:cs="Times New Roman"/>
          <w:b/>
          <w:strike/>
          <w:color w:val="FF0000"/>
          <w:sz w:val="36"/>
          <w:szCs w:val="24"/>
        </w:rPr>
      </w:pPr>
    </w:p>
    <w:p w:rsidR="00541B5D" w:rsidRPr="00C2516B" w:rsidRDefault="00541B5D" w:rsidP="00541B5D">
      <w:pPr>
        <w:spacing w:after="0" w:line="360" w:lineRule="auto"/>
        <w:jc w:val="center"/>
        <w:rPr>
          <w:rFonts w:ascii="Calibri" w:eastAsia="Calibri" w:hAnsi="Calibri" w:cs="Times New Roman"/>
          <w:b/>
          <w:strike/>
          <w:color w:val="FF0000"/>
          <w:sz w:val="36"/>
          <w:szCs w:val="24"/>
        </w:rPr>
      </w:pPr>
    </w:p>
    <w:p w:rsidR="00541B5D" w:rsidRPr="00C2516B" w:rsidRDefault="00541B5D" w:rsidP="00541B5D">
      <w:pPr>
        <w:spacing w:after="0" w:line="360" w:lineRule="auto"/>
        <w:jc w:val="center"/>
        <w:rPr>
          <w:rFonts w:ascii="Calibri" w:eastAsia="Calibri" w:hAnsi="Calibri" w:cs="Times New Roman"/>
          <w:b/>
          <w:strike/>
          <w:color w:val="FF0000"/>
          <w:sz w:val="36"/>
          <w:szCs w:val="24"/>
        </w:rPr>
      </w:pPr>
      <w:r w:rsidRPr="00C2516B">
        <w:rPr>
          <w:rFonts w:ascii="Calibri" w:eastAsia="Calibri" w:hAnsi="Calibri" w:cs="Times New Roman"/>
          <w:b/>
          <w:strike/>
          <w:color w:val="FF0000"/>
          <w:sz w:val="36"/>
          <w:szCs w:val="24"/>
        </w:rPr>
        <w:t>Opis Przedmiotu Zamówienia</w:t>
      </w:r>
    </w:p>
    <w:p w:rsidR="00541B5D" w:rsidRPr="00C2516B" w:rsidRDefault="00541B5D" w:rsidP="00541B5D">
      <w:pPr>
        <w:spacing w:after="0" w:line="360" w:lineRule="auto"/>
        <w:jc w:val="center"/>
        <w:rPr>
          <w:rFonts w:ascii="Calibri" w:eastAsia="Calibri" w:hAnsi="Calibri" w:cs="Times New Roman"/>
          <w:b/>
          <w:strike/>
          <w:color w:val="FF0000"/>
          <w:sz w:val="36"/>
          <w:szCs w:val="24"/>
        </w:rPr>
      </w:pPr>
    </w:p>
    <w:p w:rsidR="00541B5D" w:rsidRPr="00C2516B" w:rsidRDefault="00541B5D" w:rsidP="00541B5D">
      <w:pPr>
        <w:spacing w:after="0" w:line="360" w:lineRule="auto"/>
        <w:jc w:val="center"/>
        <w:rPr>
          <w:rFonts w:ascii="Calibri" w:eastAsia="Calibri" w:hAnsi="Calibri" w:cs="Times New Roman"/>
          <w:b/>
          <w:strike/>
          <w:color w:val="FF0000"/>
          <w:sz w:val="36"/>
          <w:szCs w:val="24"/>
        </w:rPr>
      </w:pPr>
      <w:r w:rsidRPr="00C2516B">
        <w:rPr>
          <w:rFonts w:ascii="Calibri" w:eastAsia="Calibri" w:hAnsi="Calibri" w:cs="Times New Roman"/>
          <w:b/>
          <w:strike/>
          <w:color w:val="FF0000"/>
          <w:sz w:val="36"/>
          <w:szCs w:val="24"/>
        </w:rPr>
        <w:t>e-usługi OMNIS</w:t>
      </w:r>
    </w:p>
    <w:p w:rsidR="00541B5D" w:rsidRPr="00C2516B" w:rsidRDefault="00541B5D" w:rsidP="00541B5D">
      <w:pPr>
        <w:spacing w:after="0" w:line="360" w:lineRule="auto"/>
        <w:jc w:val="center"/>
        <w:rPr>
          <w:rFonts w:ascii="Calibri" w:eastAsia="Calibri" w:hAnsi="Calibri" w:cs="Times New Roman"/>
          <w:b/>
          <w:strike/>
          <w:color w:val="FF0000"/>
          <w:sz w:val="36"/>
          <w:szCs w:val="24"/>
        </w:rPr>
      </w:pPr>
    </w:p>
    <w:p w:rsidR="00541B5D" w:rsidRPr="00C2516B" w:rsidRDefault="00541B5D" w:rsidP="00541B5D">
      <w:pPr>
        <w:spacing w:after="0" w:line="360" w:lineRule="auto"/>
        <w:jc w:val="center"/>
        <w:rPr>
          <w:rFonts w:ascii="Calibri" w:eastAsia="Calibri" w:hAnsi="Calibri" w:cs="Times New Roman"/>
          <w:b/>
          <w:strike/>
          <w:color w:val="FF0000"/>
          <w:sz w:val="36"/>
          <w:szCs w:val="24"/>
        </w:rPr>
      </w:pPr>
      <w:r w:rsidRPr="00C2516B">
        <w:rPr>
          <w:rFonts w:ascii="Calibri" w:eastAsia="Calibri" w:hAnsi="Calibri" w:cs="Times New Roman"/>
          <w:b/>
          <w:strike/>
          <w:color w:val="FF0000"/>
          <w:sz w:val="36"/>
          <w:szCs w:val="24"/>
        </w:rPr>
        <w:t>Zadanie 4 : Zakup i implementacja Zintegrowanego Systemu Zarządzania Zasobami dla Bibliotek</w:t>
      </w: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sdt>
      <w:sdtPr>
        <w:rPr>
          <w:rFonts w:ascii="Calibri" w:eastAsia="Calibri" w:hAnsi="Calibri" w:cs="Times New Roman"/>
          <w:strike/>
          <w:color w:val="FF0000"/>
        </w:rPr>
        <w:id w:val="-994563472"/>
        <w:docPartObj>
          <w:docPartGallery w:val="Table of Contents"/>
          <w:docPartUnique/>
        </w:docPartObj>
      </w:sdtPr>
      <w:sdtEndPr/>
      <w:sdtContent>
        <w:p w:rsidR="00541B5D" w:rsidRPr="00C2516B" w:rsidRDefault="00541B5D" w:rsidP="00541B5D">
          <w:pPr>
            <w:keepNext/>
            <w:keepLines/>
            <w:spacing w:before="480" w:after="0" w:line="276" w:lineRule="auto"/>
            <w:rPr>
              <w:rFonts w:ascii="Cambria" w:eastAsia="Times New Roman" w:hAnsi="Cambria" w:cs="Times New Roman"/>
              <w:b/>
              <w:bCs/>
              <w:strike/>
              <w:color w:val="FF0000"/>
              <w:sz w:val="28"/>
              <w:szCs w:val="28"/>
              <w:lang w:eastAsia="pl-PL"/>
            </w:rPr>
          </w:pPr>
          <w:r w:rsidRPr="00C2516B">
            <w:rPr>
              <w:rFonts w:ascii="Cambria" w:eastAsia="Times New Roman" w:hAnsi="Cambria" w:cs="Times New Roman"/>
              <w:b/>
              <w:bCs/>
              <w:strike/>
              <w:color w:val="FF0000"/>
              <w:sz w:val="28"/>
              <w:szCs w:val="28"/>
              <w:lang w:eastAsia="pl-PL"/>
            </w:rPr>
            <w:t>Spis treści</w:t>
          </w:r>
        </w:p>
        <w:p w:rsidR="00541B5D" w:rsidRPr="00C2516B" w:rsidRDefault="00541B5D" w:rsidP="00541B5D">
          <w:pPr>
            <w:tabs>
              <w:tab w:val="left" w:pos="440"/>
              <w:tab w:val="right" w:leader="dot" w:pos="9062"/>
            </w:tabs>
            <w:spacing w:after="100" w:line="276" w:lineRule="auto"/>
            <w:rPr>
              <w:rFonts w:ascii="Calibri" w:eastAsia="Times New Roman" w:hAnsi="Calibri" w:cs="Times New Roman"/>
              <w:strike/>
              <w:noProof/>
              <w:color w:val="FF0000"/>
              <w:lang w:eastAsia="pl-PL"/>
            </w:rPr>
          </w:pPr>
          <w:r w:rsidRPr="00C2516B">
            <w:rPr>
              <w:rFonts w:ascii="Calibri" w:eastAsia="Calibri" w:hAnsi="Calibri" w:cs="Times New Roman"/>
              <w:b/>
              <w:strike/>
              <w:color w:val="FF0000"/>
            </w:rPr>
            <w:fldChar w:fldCharType="begin"/>
          </w:r>
          <w:r w:rsidRPr="00C2516B">
            <w:rPr>
              <w:rFonts w:ascii="Calibri" w:eastAsia="Calibri" w:hAnsi="Calibri" w:cs="Times New Roman"/>
              <w:b/>
              <w:strike/>
              <w:color w:val="FF0000"/>
            </w:rPr>
            <w:instrText xml:space="preserve"> TOC \o "1-3" \h \z \u </w:instrText>
          </w:r>
          <w:r w:rsidRPr="00C2516B">
            <w:rPr>
              <w:rFonts w:ascii="Calibri" w:eastAsia="Calibri" w:hAnsi="Calibri" w:cs="Times New Roman"/>
              <w:b/>
              <w:strike/>
              <w:color w:val="FF0000"/>
            </w:rPr>
            <w:fldChar w:fldCharType="separate"/>
          </w:r>
          <w:hyperlink w:anchor="_Toc490479634" w:history="1">
            <w:r w:rsidRPr="00C2516B">
              <w:rPr>
                <w:rFonts w:ascii="Calibri" w:eastAsia="Calibri" w:hAnsi="Calibri" w:cs="Times New Roman"/>
                <w:b/>
                <w:strike/>
                <w:noProof/>
                <w:color w:val="FF0000"/>
                <w:u w:val="single"/>
              </w:rPr>
              <w:t>1.</w:t>
            </w:r>
            <w:r w:rsidRPr="00C2516B">
              <w:rPr>
                <w:rFonts w:ascii="Calibri" w:eastAsia="Times New Roman" w:hAnsi="Calibri" w:cs="Times New Roman"/>
                <w:strike/>
                <w:noProof/>
                <w:color w:val="FF0000"/>
                <w:lang w:eastAsia="pl-PL"/>
              </w:rPr>
              <w:tab/>
            </w:r>
            <w:r w:rsidRPr="00C2516B">
              <w:rPr>
                <w:rFonts w:ascii="Calibri" w:eastAsia="Calibri" w:hAnsi="Calibri" w:cs="Times New Roman"/>
                <w:b/>
                <w:strike/>
                <w:noProof/>
                <w:color w:val="FF0000"/>
                <w:u w:val="single"/>
              </w:rPr>
              <w:t>Wstęp</w:t>
            </w:r>
            <w:r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ab/>
            </w:r>
            <w:r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begin"/>
            </w:r>
            <w:r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instrText xml:space="preserve"> PAGEREF _Toc490479634 \h </w:instrText>
            </w:r>
            <w:r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</w:r>
            <w:r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separate"/>
            </w:r>
            <w:r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>3</w:t>
            </w:r>
            <w:r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end"/>
            </w:r>
          </w:hyperlink>
        </w:p>
        <w:p w:rsidR="00541B5D" w:rsidRPr="00C2516B" w:rsidRDefault="009F7D7F" w:rsidP="00541B5D">
          <w:pPr>
            <w:tabs>
              <w:tab w:val="left" w:pos="440"/>
              <w:tab w:val="right" w:leader="dot" w:pos="9062"/>
            </w:tabs>
            <w:spacing w:after="100" w:line="276" w:lineRule="auto"/>
            <w:rPr>
              <w:rFonts w:ascii="Calibri" w:eastAsia="Times New Roman" w:hAnsi="Calibri" w:cs="Times New Roman"/>
              <w:strike/>
              <w:noProof/>
              <w:color w:val="FF0000"/>
              <w:lang w:eastAsia="pl-PL"/>
            </w:rPr>
          </w:pPr>
          <w:hyperlink w:anchor="_Toc490479635" w:history="1">
            <w:r w:rsidR="00541B5D" w:rsidRPr="00C2516B">
              <w:rPr>
                <w:rFonts w:ascii="Calibri" w:eastAsia="Calibri" w:hAnsi="Calibri" w:cs="Calibri"/>
                <w:b/>
                <w:strike/>
                <w:noProof/>
                <w:color w:val="FF0000"/>
                <w:u w:val="single"/>
              </w:rPr>
              <w:t>2.</w:t>
            </w:r>
            <w:r w:rsidR="00541B5D" w:rsidRPr="00C2516B">
              <w:rPr>
                <w:rFonts w:ascii="Calibri" w:eastAsia="Times New Roman" w:hAnsi="Calibri" w:cs="Times New Roman"/>
                <w:strike/>
                <w:noProof/>
                <w:color w:val="FF0000"/>
                <w:lang w:eastAsia="pl-PL"/>
              </w:rPr>
              <w:tab/>
            </w:r>
            <w:r w:rsidR="00541B5D" w:rsidRPr="00C2516B">
              <w:rPr>
                <w:rFonts w:ascii="Calibri" w:eastAsia="Calibri" w:hAnsi="Calibri" w:cs="Calibri"/>
                <w:b/>
                <w:strike/>
                <w:noProof/>
                <w:color w:val="FF0000"/>
                <w:u w:val="single"/>
              </w:rPr>
              <w:t>Przedmiot zamówienia</w: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ab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begin"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instrText xml:space="preserve"> PAGEREF _Toc490479635 \h </w:instrTex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separate"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>3</w: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end"/>
            </w:r>
          </w:hyperlink>
        </w:p>
        <w:p w:rsidR="00541B5D" w:rsidRPr="00C2516B" w:rsidRDefault="009F7D7F" w:rsidP="00541B5D">
          <w:pPr>
            <w:tabs>
              <w:tab w:val="left" w:pos="880"/>
              <w:tab w:val="right" w:leader="dot" w:pos="9062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strike/>
              <w:noProof/>
              <w:color w:val="FF0000"/>
              <w:lang w:eastAsia="pl-PL"/>
            </w:rPr>
          </w:pPr>
          <w:hyperlink w:anchor="_Toc490479636" w:history="1">
            <w:r w:rsidR="00541B5D" w:rsidRPr="00C2516B">
              <w:rPr>
                <w:rFonts w:ascii="Calibri" w:eastAsia="Calibri" w:hAnsi="Calibri" w:cs="Calibri"/>
                <w:b/>
                <w:strike/>
                <w:noProof/>
                <w:color w:val="FF0000"/>
                <w:u w:val="single"/>
              </w:rPr>
              <w:t>2.1.</w:t>
            </w:r>
            <w:r w:rsidR="00541B5D" w:rsidRPr="00C2516B">
              <w:rPr>
                <w:rFonts w:ascii="Calibri" w:eastAsia="Times New Roman" w:hAnsi="Calibri" w:cs="Times New Roman"/>
                <w:strike/>
                <w:noProof/>
                <w:color w:val="FF0000"/>
                <w:lang w:eastAsia="pl-PL"/>
              </w:rPr>
              <w:tab/>
            </w:r>
            <w:r w:rsidR="00541B5D" w:rsidRPr="00C2516B">
              <w:rPr>
                <w:rFonts w:ascii="Calibri" w:eastAsia="Calibri" w:hAnsi="Calibri" w:cs="Calibri"/>
                <w:b/>
                <w:strike/>
                <w:noProof/>
                <w:color w:val="FF0000"/>
                <w:u w:val="single"/>
              </w:rPr>
              <w:t>Ogólny opis</w: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ab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begin"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instrText xml:space="preserve"> PAGEREF _Toc490479636 \h </w:instrTex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separate"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>3</w: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end"/>
            </w:r>
          </w:hyperlink>
        </w:p>
        <w:p w:rsidR="00541B5D" w:rsidRPr="00C2516B" w:rsidRDefault="009F7D7F" w:rsidP="00541B5D">
          <w:pPr>
            <w:tabs>
              <w:tab w:val="left" w:pos="880"/>
              <w:tab w:val="right" w:leader="dot" w:pos="9062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strike/>
              <w:noProof/>
              <w:color w:val="FF0000"/>
              <w:lang w:eastAsia="pl-PL"/>
            </w:rPr>
          </w:pPr>
          <w:hyperlink w:anchor="_Toc490479637" w:history="1">
            <w:r w:rsidR="00541B5D" w:rsidRPr="00C2516B">
              <w:rPr>
                <w:rFonts w:ascii="Calibri" w:eastAsia="Calibri" w:hAnsi="Calibri" w:cs="Times New Roman"/>
                <w:b/>
                <w:strike/>
                <w:noProof/>
                <w:color w:val="FF0000"/>
                <w:u w:val="single"/>
              </w:rPr>
              <w:t>2.2.</w:t>
            </w:r>
            <w:r w:rsidR="00541B5D" w:rsidRPr="00C2516B">
              <w:rPr>
                <w:rFonts w:ascii="Calibri" w:eastAsia="Times New Roman" w:hAnsi="Calibri" w:cs="Times New Roman"/>
                <w:strike/>
                <w:noProof/>
                <w:color w:val="FF0000"/>
                <w:lang w:eastAsia="pl-PL"/>
              </w:rPr>
              <w:tab/>
            </w:r>
            <w:r w:rsidR="00541B5D" w:rsidRPr="00C2516B">
              <w:rPr>
                <w:rFonts w:ascii="Calibri" w:eastAsia="Calibri" w:hAnsi="Calibri" w:cs="Times New Roman"/>
                <w:b/>
                <w:strike/>
                <w:noProof/>
                <w:color w:val="FF0000"/>
                <w:u w:val="single"/>
              </w:rPr>
              <w:t>Zobowiązania Wykonawcy</w: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ab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begin"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instrText xml:space="preserve"> PAGEREF _Toc490479637 \h </w:instrTex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separate"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>4</w: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end"/>
            </w:r>
          </w:hyperlink>
        </w:p>
        <w:p w:rsidR="00541B5D" w:rsidRPr="00C2516B" w:rsidRDefault="009F7D7F" w:rsidP="00541B5D">
          <w:pPr>
            <w:tabs>
              <w:tab w:val="left" w:pos="880"/>
              <w:tab w:val="right" w:leader="dot" w:pos="9062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strike/>
              <w:noProof/>
              <w:color w:val="FF0000"/>
              <w:lang w:eastAsia="pl-PL"/>
            </w:rPr>
          </w:pPr>
          <w:hyperlink w:anchor="_Toc490479638" w:history="1">
            <w:r w:rsidR="00541B5D" w:rsidRPr="00C2516B">
              <w:rPr>
                <w:rFonts w:ascii="Calibri" w:eastAsia="Calibri" w:hAnsi="Calibri" w:cs="Times New Roman"/>
                <w:b/>
                <w:strike/>
                <w:noProof/>
                <w:color w:val="FF0000"/>
                <w:u w:val="single"/>
              </w:rPr>
              <w:t>2.3.</w:t>
            </w:r>
            <w:r w:rsidR="00541B5D" w:rsidRPr="00C2516B">
              <w:rPr>
                <w:rFonts w:ascii="Calibri" w:eastAsia="Times New Roman" w:hAnsi="Calibri" w:cs="Times New Roman"/>
                <w:strike/>
                <w:noProof/>
                <w:color w:val="FF0000"/>
                <w:lang w:eastAsia="pl-PL"/>
              </w:rPr>
              <w:tab/>
            </w:r>
            <w:r w:rsidR="00541B5D" w:rsidRPr="00C2516B">
              <w:rPr>
                <w:rFonts w:ascii="Calibri" w:eastAsia="Calibri" w:hAnsi="Calibri" w:cs="Times New Roman"/>
                <w:b/>
                <w:strike/>
                <w:noProof/>
                <w:color w:val="FF0000"/>
                <w:u w:val="single"/>
              </w:rPr>
              <w:t>Plan realizacji</w: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ab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begin"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instrText xml:space="preserve"> PAGEREF _Toc490479638 \h </w:instrTex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separate"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>4</w: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end"/>
            </w:r>
          </w:hyperlink>
        </w:p>
        <w:p w:rsidR="00541B5D" w:rsidRPr="00C2516B" w:rsidRDefault="009F7D7F" w:rsidP="00541B5D">
          <w:pPr>
            <w:tabs>
              <w:tab w:val="left" w:pos="880"/>
              <w:tab w:val="right" w:leader="dot" w:pos="9062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strike/>
              <w:noProof/>
              <w:color w:val="FF0000"/>
              <w:lang w:eastAsia="pl-PL"/>
            </w:rPr>
          </w:pPr>
          <w:hyperlink w:anchor="_Toc490479639" w:history="1">
            <w:r w:rsidR="00541B5D" w:rsidRPr="00C2516B">
              <w:rPr>
                <w:rFonts w:ascii="Calibri" w:eastAsia="Calibri" w:hAnsi="Calibri" w:cs="Times New Roman"/>
                <w:b/>
                <w:strike/>
                <w:noProof/>
                <w:color w:val="FF0000"/>
                <w:u w:val="single"/>
              </w:rPr>
              <w:t>2.4.</w:t>
            </w:r>
            <w:r w:rsidR="00541B5D" w:rsidRPr="00C2516B">
              <w:rPr>
                <w:rFonts w:ascii="Calibri" w:eastAsia="Times New Roman" w:hAnsi="Calibri" w:cs="Times New Roman"/>
                <w:strike/>
                <w:noProof/>
                <w:color w:val="FF0000"/>
                <w:lang w:eastAsia="pl-PL"/>
              </w:rPr>
              <w:tab/>
            </w:r>
            <w:r w:rsidR="00541B5D" w:rsidRPr="00C2516B">
              <w:rPr>
                <w:rFonts w:ascii="Calibri" w:eastAsia="Calibri" w:hAnsi="Calibri" w:cs="Times New Roman"/>
                <w:b/>
                <w:strike/>
                <w:noProof/>
                <w:color w:val="FF0000"/>
                <w:u w:val="single"/>
              </w:rPr>
              <w:t>Opis wymagań</w: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ab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begin"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instrText xml:space="preserve"> PAGEREF _Toc490479639 \h </w:instrTex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separate"/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t>5</w:t>
            </w:r>
            <w:r w:rsidR="00541B5D" w:rsidRPr="00C2516B">
              <w:rPr>
                <w:rFonts w:ascii="Calibri" w:eastAsia="Calibri" w:hAnsi="Calibri" w:cs="Times New Roman"/>
                <w:strike/>
                <w:noProof/>
                <w:webHidden/>
                <w:color w:val="FF0000"/>
              </w:rPr>
              <w:fldChar w:fldCharType="end"/>
            </w:r>
          </w:hyperlink>
        </w:p>
        <w:p w:rsidR="00541B5D" w:rsidRPr="00C2516B" w:rsidRDefault="00541B5D" w:rsidP="00541B5D">
          <w:pPr>
            <w:spacing w:after="200" w:line="276" w:lineRule="auto"/>
            <w:rPr>
              <w:rFonts w:ascii="Calibri" w:eastAsia="Calibri" w:hAnsi="Calibri" w:cs="Times New Roman"/>
              <w:strike/>
              <w:color w:val="FF0000"/>
            </w:rPr>
          </w:pPr>
          <w:r w:rsidRPr="00C2516B">
            <w:rPr>
              <w:rFonts w:ascii="Calibri" w:eastAsia="Calibri" w:hAnsi="Calibri" w:cs="Times New Roman"/>
              <w:b/>
              <w:bCs/>
              <w:strike/>
              <w:color w:val="FF0000"/>
            </w:rPr>
            <w:fldChar w:fldCharType="end"/>
          </w:r>
        </w:p>
      </w:sdtContent>
    </w:sdt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numPr>
          <w:ilvl w:val="0"/>
          <w:numId w:val="50"/>
        </w:numPr>
        <w:spacing w:after="0" w:line="360" w:lineRule="auto"/>
        <w:contextualSpacing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  <w:bookmarkStart w:id="2" w:name="_Toc487650355"/>
      <w:bookmarkStart w:id="3" w:name="_Toc490479634"/>
      <w:r w:rsidRPr="00C2516B">
        <w:rPr>
          <w:rFonts w:ascii="Calibri" w:eastAsia="Calibri" w:hAnsi="Calibri" w:cs="Times New Roman"/>
          <w:b/>
          <w:strike/>
          <w:color w:val="FF0000"/>
          <w:sz w:val="24"/>
          <w:szCs w:val="24"/>
        </w:rPr>
        <w:t>Wstęp</w:t>
      </w:r>
      <w:bookmarkEnd w:id="2"/>
      <w:bookmarkEnd w:id="3"/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Calibri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Calibri"/>
          <w:strike/>
          <w:color w:val="FF0000"/>
          <w:sz w:val="24"/>
          <w:szCs w:val="24"/>
        </w:rPr>
        <w:t>Dynamiczny rozwój Internetu i elektronicznych źródeł informacji, zmieniające się potrzeby i zachowania czytelników dają asumpt do niezbędnych zmian w sposobie zarządzania, integrowania i udostępniania zasobów przez polskie biblioteki. Obecnie w Polsce działa wiele systemów bibliotecznych finansowanych przez różnych organizatorów instytucji ewidencjonujących zbiory. W celu rozpoczęcia porządkowania elektronicznych katalogów zbiorów polskich bibliotek w ramach projektu „e-usługa OMNIS” zostanie zakupiona jedna usługa systemu bibliotecznego w chmurze dla Biblioteki Narodowej oraz innych bibliotek, które docelowo zechcą przenieść swoje dane do wspólnego środowiska katalogowego. Usługa systemu bibliotecznego w chmurze dla Biblioteki Narodowej oraz innych instytucji ma być dostarczona w modelu SaaS (Software as a Service, oprogramowanie jako usługa), co w rezultacie przyniesie korzyści związane z niższymi kosztami utrzymania, a także możliwością korzystania z częstszych aktualizacji oprogramowania.</w:t>
      </w: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Calibri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numPr>
          <w:ilvl w:val="0"/>
          <w:numId w:val="50"/>
        </w:numPr>
        <w:spacing w:after="0" w:line="360" w:lineRule="auto"/>
        <w:contextualSpacing/>
        <w:jc w:val="both"/>
        <w:outlineLvl w:val="0"/>
        <w:rPr>
          <w:rFonts w:ascii="Calibri" w:eastAsia="Calibri" w:hAnsi="Calibri" w:cs="Calibri"/>
          <w:b/>
          <w:strike/>
          <w:color w:val="FF0000"/>
          <w:sz w:val="24"/>
          <w:szCs w:val="24"/>
        </w:rPr>
      </w:pPr>
      <w:bookmarkStart w:id="4" w:name="_Toc490479635"/>
      <w:r w:rsidRPr="00C2516B">
        <w:rPr>
          <w:rFonts w:ascii="Calibri" w:eastAsia="Calibri" w:hAnsi="Calibri" w:cs="Calibri"/>
          <w:b/>
          <w:strike/>
          <w:color w:val="FF0000"/>
          <w:sz w:val="24"/>
          <w:szCs w:val="24"/>
        </w:rPr>
        <w:t>Przedmiot zamówienia</w:t>
      </w:r>
      <w:bookmarkEnd w:id="4"/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Calibri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numPr>
          <w:ilvl w:val="1"/>
          <w:numId w:val="50"/>
        </w:numPr>
        <w:spacing w:after="0" w:line="360" w:lineRule="auto"/>
        <w:contextualSpacing/>
        <w:jc w:val="both"/>
        <w:outlineLvl w:val="1"/>
        <w:rPr>
          <w:rFonts w:ascii="Calibri" w:eastAsia="Calibri" w:hAnsi="Calibri" w:cs="Calibri"/>
          <w:b/>
          <w:strike/>
          <w:color w:val="FF0000"/>
          <w:sz w:val="24"/>
          <w:szCs w:val="24"/>
        </w:rPr>
      </w:pPr>
      <w:bookmarkStart w:id="5" w:name="_Toc490479636"/>
      <w:r w:rsidRPr="00C2516B">
        <w:rPr>
          <w:rFonts w:ascii="Calibri" w:eastAsia="Calibri" w:hAnsi="Calibri" w:cs="Calibri"/>
          <w:b/>
          <w:strike/>
          <w:color w:val="FF0000"/>
          <w:sz w:val="24"/>
          <w:szCs w:val="24"/>
        </w:rPr>
        <w:t>Ogólny opis</w:t>
      </w:r>
      <w:bookmarkEnd w:id="5"/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Calibri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Calibri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Calibri"/>
          <w:strike/>
          <w:color w:val="FF0000"/>
          <w:sz w:val="24"/>
          <w:szCs w:val="24"/>
        </w:rPr>
        <w:t>Przedmiotem zamówienia jest dostarczenie i implementacja przez Wykonawcę gotowego zintegrowanego Systemu zarządzania zasobami dla bibliotek wraz z usługą dostępu do systemu bibliotecznego w chmurze obliczeniowej, w modelu SaaS (Software as a Service), wraz z koniecznymi licencjami. Poprzez gotowy System zarządzania zasobami dla bibliotek, zwany dalej również: „Systemem”, rozumie się rozwiązanie, które Wykonawca już posiada i może przeprowadzić jego implementację w terminie określonym w umowie.</w:t>
      </w: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Calibri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Calibri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Calibri"/>
          <w:strike/>
          <w:color w:val="FF0000"/>
          <w:sz w:val="24"/>
          <w:szCs w:val="24"/>
        </w:rPr>
        <w:t xml:space="preserve">Oferowany przez Wykonawcę System zostanie wdrożony w Bibliotece Narodowej oraz we wskazanych przez Zamawiającego w trzech bibliotekach (jednej akademickiej, jednej wojewódzkiej i jednej powiatowej). Usługa dostępu do Systemu w chmurze obliczeniowej będzie świadczona dla maksymalnie 2500 kont użytkowników i 25 mln rekordów wszystkich </w:t>
      </w:r>
      <w:r w:rsidRPr="00C2516B">
        <w:rPr>
          <w:rFonts w:ascii="Calibri" w:eastAsia="Calibri" w:hAnsi="Calibri" w:cs="Calibri"/>
          <w:strike/>
          <w:color w:val="FF0000"/>
          <w:sz w:val="24"/>
          <w:szCs w:val="24"/>
        </w:rPr>
        <w:lastRenderedPageBreak/>
        <w:t xml:space="preserve">typów (bibliograficznych, wzorcowych, egzemplarza, zasobu czasopism, zamówień, czytelników, dostawców i rachunków). </w:t>
      </w: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Calibri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Calibri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Calibri"/>
          <w:strike/>
          <w:color w:val="FF0000"/>
          <w:sz w:val="24"/>
          <w:szCs w:val="24"/>
        </w:rPr>
        <w:t>System dostarczony przez Wykonawcę docelowo będzie przeznaczony dla bibliotek w Polsce (bez względu na charakter biblioteki i typ gromadzonych materiałów bibliotecznych). Wykonawca jest zobowiązany dostarczyć System, który będzie w pełni skalowany z uwzględnieniem przyszłych implementacji w bibliotekach (w okresie po 30 września 2019 r.).</w:t>
      </w: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Calibri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Zamawiający wymaga aby, System zapewniał obsługę procesów bibliotecznych w obrębie:</w:t>
      </w:r>
    </w:p>
    <w:p w:rsidR="00541B5D" w:rsidRPr="00C2516B" w:rsidRDefault="00541B5D" w:rsidP="00541B5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gromadzenia materiałów bibliotecznych,</w:t>
      </w:r>
    </w:p>
    <w:p w:rsidR="00541B5D" w:rsidRPr="00C2516B" w:rsidRDefault="00541B5D" w:rsidP="00541B5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opracowania materiałów bibliotecznych,</w:t>
      </w:r>
    </w:p>
    <w:p w:rsidR="00541B5D" w:rsidRPr="00C2516B" w:rsidRDefault="00541B5D" w:rsidP="00541B5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udostępniania materiałów bibliotecznych,</w:t>
      </w:r>
    </w:p>
    <w:p w:rsidR="00541B5D" w:rsidRPr="00C2516B" w:rsidRDefault="00541B5D" w:rsidP="00541B5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rejestracji czasopism,</w:t>
      </w:r>
    </w:p>
    <w:p w:rsidR="00541B5D" w:rsidRPr="00C2516B" w:rsidRDefault="00541B5D" w:rsidP="00541B5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interfejsu użytkownika (wyszukiwarki),</w:t>
      </w:r>
    </w:p>
    <w:p w:rsidR="00541B5D" w:rsidRPr="00C2516B" w:rsidRDefault="00541B5D" w:rsidP="00541B5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administracji systemem,</w:t>
      </w:r>
    </w:p>
    <w:p w:rsidR="00541B5D" w:rsidRPr="00C2516B" w:rsidRDefault="00541B5D" w:rsidP="00541B5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współpracy z innymi systemami wykorzystywanymi w bibliotece np. poprzez API.</w:t>
      </w: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numPr>
          <w:ilvl w:val="1"/>
          <w:numId w:val="50"/>
        </w:numPr>
        <w:spacing w:after="0" w:line="360" w:lineRule="auto"/>
        <w:contextualSpacing/>
        <w:jc w:val="both"/>
        <w:outlineLvl w:val="1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  <w:bookmarkStart w:id="6" w:name="_Toc490479637"/>
      <w:r w:rsidRPr="00C2516B">
        <w:rPr>
          <w:rFonts w:ascii="Calibri" w:eastAsia="Calibri" w:hAnsi="Calibri" w:cs="Times New Roman"/>
          <w:b/>
          <w:strike/>
          <w:color w:val="FF0000"/>
          <w:sz w:val="24"/>
          <w:szCs w:val="24"/>
        </w:rPr>
        <w:t>Zobowiązania Wykonawcy</w:t>
      </w:r>
      <w:bookmarkEnd w:id="6"/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Wykonawca zapewni realizację poniższych zadań:</w:t>
      </w:r>
    </w:p>
    <w:p w:rsidR="00541B5D" w:rsidRPr="00C2516B" w:rsidRDefault="00541B5D" w:rsidP="00541B5D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dostarczenie Systemu wraz z niezbędnymi licencjami,</w:t>
      </w:r>
    </w:p>
    <w:p w:rsidR="00541B5D" w:rsidRPr="00C2516B" w:rsidRDefault="00541B5D" w:rsidP="00541B5D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implementacja Systemu,</w:t>
      </w:r>
    </w:p>
    <w:p w:rsidR="00541B5D" w:rsidRPr="00C2516B" w:rsidRDefault="00541B5D" w:rsidP="00541B5D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konfiguracja Systemu,</w:t>
      </w:r>
    </w:p>
    <w:p w:rsidR="00541B5D" w:rsidRPr="00C2516B" w:rsidRDefault="00541B5D" w:rsidP="00541B5D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migracja danych z istniejącego systemu zarządzania zasobami biblioteki do Systemu,</w:t>
      </w:r>
    </w:p>
    <w:p w:rsidR="00541B5D" w:rsidRPr="00C2516B" w:rsidRDefault="00541B5D" w:rsidP="00541B5D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dostarczenie dokumentacji technicznej i użytkowej Systemu,</w:t>
      </w:r>
    </w:p>
    <w:p w:rsidR="00541B5D" w:rsidRPr="00C2516B" w:rsidRDefault="00541B5D" w:rsidP="00541B5D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szkolenie administratorów Systemu (szkolenie trenerów),</w:t>
      </w:r>
    </w:p>
    <w:p w:rsidR="00541B5D" w:rsidRPr="00C2516B" w:rsidRDefault="00541B5D" w:rsidP="00541B5D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wsparcie serwisowe Systemu.</w:t>
      </w: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numPr>
          <w:ilvl w:val="1"/>
          <w:numId w:val="50"/>
        </w:numPr>
        <w:spacing w:after="0" w:line="360" w:lineRule="auto"/>
        <w:contextualSpacing/>
        <w:jc w:val="both"/>
        <w:outlineLvl w:val="1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  <w:bookmarkStart w:id="7" w:name="_Toc487650357"/>
      <w:bookmarkStart w:id="8" w:name="_Toc490479638"/>
      <w:r w:rsidRPr="00C2516B">
        <w:rPr>
          <w:rFonts w:ascii="Calibri" w:eastAsia="Calibri" w:hAnsi="Calibri" w:cs="Times New Roman"/>
          <w:b/>
          <w:strike/>
          <w:color w:val="FF0000"/>
          <w:sz w:val="24"/>
          <w:szCs w:val="24"/>
        </w:rPr>
        <w:t>Plan realizacji</w:t>
      </w:r>
      <w:bookmarkEnd w:id="7"/>
      <w:bookmarkEnd w:id="8"/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lastRenderedPageBreak/>
        <w:t xml:space="preserve">W zakresie zamówienia System zostanie wdrożony w Bibliotece Narodowej oraz w trzech bibliotekach (jednej akademickiej, jednej wojewódzkiej i jednej powiatowej) wskazanych przez Bibliotekę Narodową. </w:t>
      </w: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Implementacja w Bibliotece Narodowej musi zakończyć nie później niż po upływie 12 miesięcy od daty rozpoczęcia realizacji umowy.</w:t>
      </w: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Implementacja w pozostałych bibliotekach wskazanych przez Bibliotekę Narodową musi zakończyć się nie później niż do 14 sierpnia 2019 r.</w:t>
      </w:r>
    </w:p>
    <w:p w:rsidR="00541B5D" w:rsidRPr="00C2516B" w:rsidRDefault="00541B5D" w:rsidP="00541B5D">
      <w:pPr>
        <w:spacing w:after="0" w:line="360" w:lineRule="auto"/>
        <w:contextualSpacing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numPr>
          <w:ilvl w:val="1"/>
          <w:numId w:val="50"/>
        </w:numPr>
        <w:spacing w:after="0" w:line="360" w:lineRule="auto"/>
        <w:contextualSpacing/>
        <w:jc w:val="both"/>
        <w:outlineLvl w:val="1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  <w:bookmarkStart w:id="9" w:name="_Toc490479639"/>
      <w:r w:rsidRPr="00C2516B">
        <w:rPr>
          <w:rFonts w:ascii="Calibri" w:eastAsia="Calibri" w:hAnsi="Calibri" w:cs="Times New Roman"/>
          <w:b/>
          <w:strike/>
          <w:color w:val="FF0000"/>
          <w:sz w:val="24"/>
          <w:szCs w:val="24"/>
        </w:rPr>
        <w:t>Opis wymagań</w:t>
      </w:r>
      <w:bookmarkEnd w:id="9"/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Niniejszy rozdział opisuje wymagania Zamawiającego względem Systemu. Wszystkie opisane poniżej wymagania są wymaganiami koniecznymi do spełnienia przez System. Muszą one zostać dostarczone i być realizowane przez oferowany System w ramach wbudowanej funkcjonalności bezpośrednio po instalacji Systemu lub muszą zostać wykonane podczas realizacji wdrożenia, lecz nie później niż przed startem czynności związanych z testami umożliwiającymi końcowy odbiór Systemu.</w:t>
      </w: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Integralną częścią opisu wymagań biznesowych jest słownik pojęć będący załącznikiem do</w:t>
      </w: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niniejszego dokumentu. Zawiera on wyjaśnienia pojęć używanych w treści poniższych wymagań.</w:t>
      </w: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C2516B">
        <w:rPr>
          <w:rFonts w:ascii="Calibri" w:eastAsia="Calibri" w:hAnsi="Calibri" w:cs="Times New Roman"/>
          <w:strike/>
          <w:color w:val="FF0000"/>
          <w:sz w:val="24"/>
          <w:szCs w:val="24"/>
        </w:rPr>
        <w:t>Uwaga: Ilekroć w niniejszym opisie wymagań używane są słowa „powinien” lub „możliwość”, niezależnie od formy i konstrukcji gramatycznej, w której występują, należy je rozumieć jako wyrażające obowiązek przyszłego Wykonawcy przedmiotu zamówienia do wykonania określonych działań, zastosowania się do wskazanego obowiązku lub wypełnienia kryterium.</w:t>
      </w: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p w:rsidR="00541B5D" w:rsidRPr="00C2516B" w:rsidRDefault="00541B5D" w:rsidP="00541B5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strike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8046"/>
      </w:tblGrid>
      <w:tr w:rsidR="00C2516B" w:rsidRPr="00C2516B" w:rsidTr="0028702F">
        <w:tc>
          <w:tcPr>
            <w:tcW w:w="1242" w:type="dxa"/>
            <w:shd w:val="clear" w:color="auto" w:fill="000000" w:themeFill="text1"/>
          </w:tcPr>
          <w:p w:rsidR="00541B5D" w:rsidRPr="00C2516B" w:rsidRDefault="00541B5D" w:rsidP="00541B5D">
            <w:pPr>
              <w:spacing w:line="360" w:lineRule="auto"/>
              <w:ind w:left="360"/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8046" w:type="dxa"/>
            <w:shd w:val="clear" w:color="auto" w:fill="000000" w:themeFill="text1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Opis wymagania</w:t>
            </w:r>
          </w:p>
        </w:tc>
      </w:tr>
      <w:bookmarkEnd w:id="0"/>
      <w:tr w:rsidR="00C2516B" w:rsidRPr="00C2516B" w:rsidTr="0028702F">
        <w:tc>
          <w:tcPr>
            <w:tcW w:w="1242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numPr>
                <w:ilvl w:val="0"/>
                <w:numId w:val="51"/>
              </w:numPr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Wymagania ogólne Systemu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dostarczony jako rozwiązanie Software as a Service (SaaS) oparte na chmurze obliczeniowej.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zlokalizowany w chmurze obliczeniowej Wykonawcy zlokalizowanej na terenie Europejskiego Obszaru Gospodarczego.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posiadać wydzielone części dla każdej z bibliotek przystępujących do projektu w obszarze danych związanych z udostępnianiem i gromadzeniem zbiorów. Dostęp do tych danych będzie posiadać wyłącznie biblioteka będąca ich właścicielem.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zapewniać stabilność i wydajność niezależną od liczby użytkowników korzystających z niego jednocześnie.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zapewnia czas dostępności Systemu dla użytkowników (czytelnicy, pracownicy) na poziomie 99,98% w skali roku.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zapewniać czas reakcji, w czasie wykonywania podstawowych operacji, na poziomie do 2 sekund.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aktualizację Systemu do nowszych wersji z zachowaniem poniższych warunków:</w:t>
            </w:r>
          </w:p>
          <w:p w:rsidR="00541B5D" w:rsidRPr="00C2516B" w:rsidRDefault="00541B5D" w:rsidP="00541B5D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bez konieczności wyłączania Systemu z działania (poza koniecznością restartu serwera i konfiguracji Systemu),</w:t>
            </w:r>
          </w:p>
          <w:p w:rsidR="00541B5D" w:rsidRPr="00C2516B" w:rsidRDefault="00541B5D" w:rsidP="00541B5D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 zachowaniem wszystkich bieżących ustawień systemowych (zarówno na poziomie lokalnym i globalnym), tłumaczenia językowego, wyglądu interfejsów, tabel, API oraz obsługiwanych protokołów.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zapewniać obsługę procesów bibliotecznych w obrębie:</w:t>
            </w:r>
          </w:p>
          <w:p w:rsidR="00541B5D" w:rsidRPr="00C2516B" w:rsidRDefault="00541B5D" w:rsidP="00541B5D">
            <w:pPr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administracji Systemem,</w:t>
            </w:r>
          </w:p>
          <w:p w:rsidR="00541B5D" w:rsidRPr="00C2516B" w:rsidRDefault="00541B5D" w:rsidP="00541B5D">
            <w:pPr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gromadzenia materiałów bibliotecznych,</w:t>
            </w:r>
          </w:p>
          <w:p w:rsidR="00541B5D" w:rsidRPr="00C2516B" w:rsidRDefault="00541B5D" w:rsidP="00541B5D">
            <w:pPr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interfejsu użytkownika (wyszukiwarki),</w:t>
            </w:r>
          </w:p>
          <w:p w:rsidR="00541B5D" w:rsidRPr="00C2516B" w:rsidRDefault="00541B5D" w:rsidP="00541B5D">
            <w:pPr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opracowania materiałów bibliotecznych,</w:t>
            </w:r>
          </w:p>
          <w:p w:rsidR="00541B5D" w:rsidRPr="00C2516B" w:rsidRDefault="00541B5D" w:rsidP="00541B5D">
            <w:pPr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rejestracji czasopism,</w:t>
            </w:r>
          </w:p>
          <w:p w:rsidR="00541B5D" w:rsidRPr="00C2516B" w:rsidRDefault="00541B5D" w:rsidP="00541B5D">
            <w:pPr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udostępniania materiałów bibliotecznych,</w:t>
            </w:r>
          </w:p>
          <w:p w:rsidR="00541B5D" w:rsidRPr="00C2516B" w:rsidRDefault="00541B5D" w:rsidP="00541B5D">
            <w:pPr>
              <w:numPr>
                <w:ilvl w:val="0"/>
                <w:numId w:val="45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współpracy z innymi systemami wykorzystywanymi w bibliotece np. </w:t>
            </w: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poprzez API,</w:t>
            </w:r>
          </w:p>
          <w:p w:rsidR="00541B5D" w:rsidRPr="00C2516B" w:rsidRDefault="00541B5D" w:rsidP="00541B5D">
            <w:pPr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zarządzania dokumentami elektronicznymi.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umożliwiał zarządzanie wszystkimi rodzajami materiałów bibliotecznych: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czasopismami,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dokumentami elektronicznymi,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drukami ulotnymi,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DVD, płytami CD lub innymi nagraniami dźwiękowymi i innymi formatami multimedialnymi,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książkami,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mapami,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mikroformami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,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nutami,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rękopisami,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starodrukami,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zasobami cyfrowymi,</w:t>
            </w:r>
          </w:p>
          <w:p w:rsidR="00541B5D" w:rsidRPr="00C2516B" w:rsidRDefault="00541B5D" w:rsidP="00541B5D">
            <w:pPr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zbiorami ikonograficznymi.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dostęp do materiałów opisowych i dokumentacji technicznej w języku polskim lub angielskim i ich aktualizacji, wynikających ze zmian wersji oprogramowania.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dostęp do dokumentacji użytkowej Systemu w języku polskim.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dostęp do systemu na dwóch środowiskach: produkcyjnym i szkoleniowym. Wersja aplikacji na środowiskach powinna być taka sama. Środowiska powinny posiadać niezależne od siebie bazy danych.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przeprowadzenie szkolenia dla administratorów Systemu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4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szkolenia obejmującego wszystkie funkcje Systemu,</w:t>
            </w:r>
          </w:p>
          <w:p w:rsidR="00541B5D" w:rsidRPr="00C2516B" w:rsidRDefault="00541B5D" w:rsidP="00541B5D">
            <w:pPr>
              <w:numPr>
                <w:ilvl w:val="0"/>
                <w:numId w:val="4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szkolenia w wymiarze min. 80 godz. szkoleniowych,</w:t>
            </w:r>
          </w:p>
          <w:p w:rsidR="00541B5D" w:rsidRPr="00C2516B" w:rsidRDefault="00541B5D" w:rsidP="00541B5D">
            <w:pPr>
              <w:numPr>
                <w:ilvl w:val="0"/>
                <w:numId w:val="4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szkolenia dla min. 10 osób,</w:t>
            </w:r>
          </w:p>
          <w:p w:rsidR="00541B5D" w:rsidRPr="00C2516B" w:rsidRDefault="00541B5D" w:rsidP="00541B5D">
            <w:pPr>
              <w:numPr>
                <w:ilvl w:val="0"/>
                <w:numId w:val="4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szkolenia w siedzibie Zamawiającego.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obsługiwać co najmniej następujące standardy i protokoły wymiany danych i komunikacji: Z39.50, OAI-PMH.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obsługiwać standard kodowania znaków UNICODE (kodowanie UTF8) dla danych bibliograficznych i administracyjnych, dotyczy to danych pierwotnie utworzonych w Systemie lub importowanych z dowolnego innego źródła, niezależnie od pierwotnego kodowania importowanych danych.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mieć możliwość obsługi w polskiej wersji językowej z możliwością wyboru innej wersji.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mieć możliwość przełączania między wersjami językowymi bez utraty kontekstu.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mieć możliwość personalizacji interfejsu roboczego co najmniej w zakresie kolorystyki i wielkości czcionki.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zapewniać pełne wsparcie dla standardów i formatów: ISBD, RDA i MARC21 (dla rekordów bibliograficznych, wzorcowych i czasopism).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udostępniać funkcje umożliwiające konfigurowanie i administrowanie parametrami i zasadami, które regulują działanie wszystkich jego składników.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posiadać interfejs API.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obsługiwać interfejsy API, usługi internetowe i/lub inne interfejsy, które pozwolą zintegrować System z innymi systemami (np. systemem księgowym). Wykonawca musi dostarczyć dokumentację tych interfejsów API, usług internetowych i/lub innych interfejsów. Wykonawca powinien również zapewnić wsparcie dla integracji wykorzystującej interfejsy API, usługi internetowe i/lub inne interfejsy.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wykonanie operacji na rekordach wszystkich typów w zakresie:</w:t>
            </w:r>
          </w:p>
          <w:p w:rsidR="00541B5D" w:rsidRPr="00C2516B" w:rsidRDefault="00541B5D" w:rsidP="00541B5D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kopiowania rekordów,</w:t>
            </w:r>
          </w:p>
          <w:p w:rsidR="00541B5D" w:rsidRPr="00C2516B" w:rsidRDefault="00541B5D" w:rsidP="00541B5D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modyfikacji rekordów,</w:t>
            </w:r>
          </w:p>
          <w:p w:rsidR="00541B5D" w:rsidRPr="00C2516B" w:rsidRDefault="00541B5D" w:rsidP="00541B5D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usuwania rekordów,</w:t>
            </w:r>
          </w:p>
          <w:p w:rsidR="00541B5D" w:rsidRPr="00C2516B" w:rsidRDefault="00541B5D" w:rsidP="00541B5D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zakładania rekordów.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zakładanie wszystkich typów rekordów przy użyciu zdefiniowanego szablonu lub formularza rekordów.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wyszukiwanie wszystkich typów rekordów według zawartości dowolnego pola z obsługą wyrażeń boolowskich.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wyszukiwanie wszystkich typów rekordów poprzez dowolne strategie wyszukiwawcze.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drukowanie danych z Systemu.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wysłanie danych z Systemu na e-mail.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wykonywanie operacji globalnych na wszystkich typach rekordów.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ustawienie parametrów logowania (np. ważność konta, siła hasła, blokada po określonej liczbie niepoprawnych logowań).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definiowanie uprawnień dla poszczególnych użytkowników Systemu.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kopiowanie ustawień kont użytkowników.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zachowanie historii zmian danych dla wszystkich typów rekordów, budżetów, kont pracowników i czytelników, wszystkich transakcji, w tym finansowych, co najmniej w zakresie:</w:t>
            </w:r>
          </w:p>
          <w:p w:rsidR="00541B5D" w:rsidRPr="00C2516B" w:rsidRDefault="00541B5D" w:rsidP="00541B5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rodzaj wykonanej operacji, </w:t>
            </w:r>
          </w:p>
          <w:p w:rsidR="00541B5D" w:rsidRPr="00C2516B" w:rsidRDefault="00541B5D" w:rsidP="00541B5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data i godzina operacji, </w:t>
            </w:r>
          </w:p>
          <w:p w:rsidR="00541B5D" w:rsidRPr="00C2516B" w:rsidRDefault="00541B5D" w:rsidP="00541B5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nazwa loginu z którego wykonano operację.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zdefiniowanie indeksów wyszukiwawczych, w szczególności: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autora,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identyfikatora czytelnika,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ISBN/ISSN,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kod kreskowy,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kodu dostawcy (zakodowana przez bibliotekę nazwa dostawcy),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miejsca wydania,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nazwy czytelnika,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nazwy dostawcy,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akcesji,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bibliografii narodowej,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kontrolnego rekordu wzorcowego,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systemowego rekordu,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słowa z opisu bibliograficznego,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sygnatury,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tematu,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tytułu,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UKD,</w:t>
            </w:r>
          </w:p>
          <w:p w:rsidR="00541B5D" w:rsidRPr="00C2516B" w:rsidRDefault="00541B5D" w:rsidP="00541B5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wydawcy.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zawierać wyszukiwarkę fasetową umożliwiającą przeprowadzenie wyszukiwania prostego i zaawansowanego materiałów bibliotecznych.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samodzielne zarządzanie kontami przez czytelników co najmniej w zakresie prolongat, rezerwacji i zmiany danych kontaktowych.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zarządzanie materiałami bibliotecznymi (tradycyjnymi i elektronicznymi).</w:t>
            </w:r>
          </w:p>
        </w:tc>
      </w:tr>
      <w:tr w:rsidR="00C2516B" w:rsidRPr="00C2516B" w:rsidTr="0028702F">
        <w:tc>
          <w:tcPr>
            <w:tcW w:w="1242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bookmarkStart w:id="10" w:name="_Toc487650360"/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Wymagania dotyczące bezpieczeństwa Systemu</w:t>
            </w:r>
            <w:bookmarkEnd w:id="10"/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spełniać wymogi bezpieczeństwa w zakresie ochrony danych osobowych zgodnie z polskimi regulacjami prawnymi.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dostosowanie Systemu do zmian w przepisach prawa polskiego, wprowadzonych po zainstalowaniu i dotyczących obszaru zastosowania (np. w kontekście ochrony danych osobowych).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bezpieczeństwo danych w chmurze,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backup pełny (obejmujący wszystkie dane i ustawienia Systemu) – nie rzadziej niż raz na trzy miesiące lub w wyjątkowych przypadkach na żądanie,</w:t>
            </w:r>
          </w:p>
          <w:p w:rsidR="00541B5D" w:rsidRPr="00C2516B" w:rsidRDefault="00541B5D" w:rsidP="00541B5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backup częściowy (obejmujący nowo wprowadzone dane do Systemu) – codziennie w godzinach nocnych (22:00-4:00) czasu </w:t>
            </w: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środkowoeuropejskiego.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zarządzanie uprawnieniami poszczególnych pracowników w podziale na funkcjonalności.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zapewniać ukrycie, w widoku dla pracownika, hasła do konta czytelnika.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wymuszanie zmiany hasła przy pierwszym logowaniu.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zapewniać szyfrowane połączenie po stronie czytelnika i pracownika.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uniemożliwiać przydzielenie takiego samego identyfikatora (loginu) dla dwóch lub więcej użytkowników.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nadawanie uprawnień w zakresie autoryzacji dostępu do danych, funkcji i innych obiektów systemowych zarówno na poziomie indywidualnego użytkownika jak i na poziomie grup użytkowników za pomocą mechanizmu ról.</w:t>
            </w:r>
          </w:p>
        </w:tc>
      </w:tr>
      <w:tr w:rsidR="00C2516B" w:rsidRPr="00C2516B" w:rsidTr="0028702F">
        <w:tc>
          <w:tcPr>
            <w:tcW w:w="1242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bookmarkStart w:id="11" w:name="_Toc487650361"/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Interoperacyjność Systemu</w:t>
            </w:r>
            <w:bookmarkEnd w:id="11"/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Wykonawca zapewni nielimitowany dostęp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wywołań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API.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komunikację z systemami zewnętrznymi, rozszerzającymi jego funkcjonalność, co najmniej takimi jak: USOS, AXAPTA, SAP.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integrację z systemami zarządzania dostępem w oparciu o bazę danych użytkowników – mechanizm single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sign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-on np. CAS, LDAP (autoryzacja przez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sign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-on oraz przez mechanizm systemu bibliotecznego).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współpracę z systemami zewnętrznymi - np. płatności online (PayU).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rejestrowany dostęp do danych osobowych przez API REST.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dostęp co najmniej do rekordów wzorcowych, bibliograficznych i egzemplarza przez API REST.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ciągły rozwój funkcjonalności API REST.</w:t>
            </w:r>
          </w:p>
        </w:tc>
      </w:tr>
      <w:tr w:rsidR="00C2516B" w:rsidRPr="00C2516B" w:rsidTr="0028702F">
        <w:tc>
          <w:tcPr>
            <w:tcW w:w="1242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bookmarkStart w:id="12" w:name="_Toc487650362"/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Migracja danych</w:t>
            </w:r>
            <w:bookmarkEnd w:id="12"/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Wykonawca zapewni bezstratną migrację danych, z dotychczas </w:t>
            </w: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wykorzystywanych systemów bibliotecznych,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5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danych finansowych,</w:t>
            </w:r>
          </w:p>
          <w:p w:rsidR="00541B5D" w:rsidRPr="00C2516B" w:rsidRDefault="00541B5D" w:rsidP="00541B5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dokumentów elektronicznych,</w:t>
            </w:r>
          </w:p>
          <w:p w:rsidR="00541B5D" w:rsidRPr="00C2516B" w:rsidRDefault="00541B5D" w:rsidP="00541B5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prenumeraty czasopism lub subskrypcji,</w:t>
            </w:r>
          </w:p>
          <w:p w:rsidR="00541B5D" w:rsidRPr="00C2516B" w:rsidRDefault="00541B5D" w:rsidP="00541B5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bibliograficznych,</w:t>
            </w:r>
          </w:p>
          <w:p w:rsidR="00541B5D" w:rsidRPr="00C2516B" w:rsidRDefault="00541B5D" w:rsidP="00541B5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czytelników,</w:t>
            </w:r>
          </w:p>
          <w:p w:rsidR="00541B5D" w:rsidRPr="00C2516B" w:rsidRDefault="00541B5D" w:rsidP="00541B5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dostawców,</w:t>
            </w:r>
          </w:p>
          <w:p w:rsidR="00541B5D" w:rsidRPr="00C2516B" w:rsidRDefault="00541B5D" w:rsidP="00541B5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egzemplarza,</w:t>
            </w:r>
          </w:p>
          <w:p w:rsidR="00541B5D" w:rsidRPr="00C2516B" w:rsidRDefault="00541B5D" w:rsidP="00541B5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wzorcowych,</w:t>
            </w:r>
          </w:p>
          <w:p w:rsidR="00541B5D" w:rsidRPr="00C2516B" w:rsidRDefault="00541B5D" w:rsidP="00541B5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zamówień,</w:t>
            </w:r>
          </w:p>
          <w:p w:rsidR="00541B5D" w:rsidRPr="00C2516B" w:rsidRDefault="00541B5D" w:rsidP="00541B5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zasobu czasopisma.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przygotowanie i udostępnienie zamawiającemu narzędzi do migracji danych z systemów bibliotecznych obecnie wykorzystywanych w Polsce,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Aleph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,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Horizon,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Koha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,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Libra,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MAK,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MAK+,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Mateusz,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Patron,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Prolib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,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Sierra,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Sowa,</w:t>
            </w:r>
          </w:p>
          <w:p w:rsidR="00541B5D" w:rsidRPr="00C2516B" w:rsidRDefault="00541B5D" w:rsidP="00541B5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Virtua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samodzielnie przeprowadzi migrację danych z systemów zarządzania zasobami obecnie wykorzystywanych w bibliotekach przystępujących do projektu do 14 sierpnia 2019 r.</w:t>
            </w:r>
          </w:p>
        </w:tc>
      </w:tr>
      <w:tr w:rsidR="00C2516B" w:rsidRPr="00C2516B" w:rsidTr="0028702F">
        <w:tc>
          <w:tcPr>
            <w:tcW w:w="1242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bookmarkStart w:id="13" w:name="_Toc487650363"/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Usługi w zakresie utrzymania i obsługi technicznej Systemu</w:t>
            </w:r>
            <w:bookmarkEnd w:id="13"/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usługę utrzymania i obsługę techniczną w ramach subskrypcji/licencji Systemu.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wsparcie serwisowe dostępne w poniższym zakresie:</w:t>
            </w:r>
          </w:p>
          <w:p w:rsidR="00541B5D" w:rsidRPr="00C2516B" w:rsidRDefault="00541B5D" w:rsidP="00541B5D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24 godz. na dobę,</w:t>
            </w:r>
          </w:p>
          <w:p w:rsidR="00541B5D" w:rsidRPr="00C2516B" w:rsidRDefault="00541B5D" w:rsidP="00541B5D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7 dni w tygodniu.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Planowana przerwa techniczna, w trakcie której Wykonawca będzie</w:t>
            </w:r>
          </w:p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wykonywał działania serwisowe, może nastąpić na wniosek Zamawiającego lub</w:t>
            </w:r>
          </w:p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Wykonawcy. Musi ona zostać ustalona między stronami z przynajmniej 3</w:t>
            </w:r>
          </w:p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dniowym wyprzedzeniem. Przerwa techniczna nie może mieć miejsca w dni</w:t>
            </w:r>
          </w:p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robocze w godzinach 5:00 – 21:00.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posiadać interfejs umożliwiający zgłaszanie usterek, błędów i propozycji usprawnień funkcjonalności. Wykonawca zapewni wsparcie serwisowe za pośrednictwem telefonu.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będzie udzielać odpowiedzi w ramach wsparcia serwisowego w</w:t>
            </w:r>
          </w:p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poniższym maksymalnym czasie reakcji (oczekiwania przez Zamawiającego na</w:t>
            </w:r>
          </w:p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odpowiedź Wykonawcy):</w:t>
            </w:r>
          </w:p>
          <w:p w:rsidR="00541B5D" w:rsidRPr="00C2516B" w:rsidRDefault="00541B5D" w:rsidP="00541B5D">
            <w:pPr>
              <w:numPr>
                <w:ilvl w:val="0"/>
                <w:numId w:val="5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Błąd krytyczny – System jest niedostępny lub praca na nim z innego powodu jest całkowicie niemożliwa. Przewidywalny maksymalny czas reakcji Wykonawcy to 1h.</w:t>
            </w:r>
          </w:p>
          <w:p w:rsidR="00541B5D" w:rsidRPr="00C2516B" w:rsidRDefault="00541B5D" w:rsidP="00541B5D">
            <w:pPr>
              <w:numPr>
                <w:ilvl w:val="0"/>
                <w:numId w:val="5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Błąd istotny - używanie jednej z funkcji Systemu (wymienionych w wymaganiach funkcjonalnych) jest niemożliwe. W przypadku tego typu błędu Wykonawca powinien odpowiedzieć w czasie maksymalnie 4h.</w:t>
            </w:r>
          </w:p>
          <w:p w:rsidR="00541B5D" w:rsidRPr="00C2516B" w:rsidRDefault="00541B5D" w:rsidP="00541B5D">
            <w:pPr>
              <w:numPr>
                <w:ilvl w:val="0"/>
                <w:numId w:val="5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Błąd nieistotny - każdy inny błąd, który nie jest krytyczny lub istotny. Odpowiedź przez Wykonawcę powinna wynosić maksymalnie 8h.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Zgłoszone przez Zamawiającego błędy muszą zostać naprawione przez</w:t>
            </w:r>
          </w:p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Wykonawcę w następującym czasie:</w:t>
            </w:r>
          </w:p>
          <w:p w:rsidR="00541B5D" w:rsidRPr="00C2516B" w:rsidRDefault="00541B5D" w:rsidP="00541B5D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Błąd krytyczny – maksymalny czas na naprawę to 24h.</w:t>
            </w:r>
          </w:p>
          <w:p w:rsidR="00541B5D" w:rsidRPr="00C2516B" w:rsidRDefault="00541B5D" w:rsidP="00541B5D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Błąd istotny – czas naprawy musi wynosić nie więcej niż 48h.</w:t>
            </w:r>
          </w:p>
          <w:p w:rsidR="00541B5D" w:rsidRPr="00C2516B" w:rsidRDefault="00541B5D" w:rsidP="00541B5D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Błąd nieistotny – przewidywany maksymalny czas na naprawę wynosi 72h.</w:t>
            </w:r>
          </w:p>
        </w:tc>
      </w:tr>
      <w:tr w:rsidR="00C2516B" w:rsidRPr="00C2516B" w:rsidTr="0028702F">
        <w:tc>
          <w:tcPr>
            <w:tcW w:w="1242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bookmarkStart w:id="14" w:name="_Toc487650364"/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Gromadzenie materiałów bibliotecznych</w:t>
            </w:r>
            <w:bookmarkEnd w:id="14"/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zapewniać obsługę procesu gromadzenia wszystkich typów materiałów bibliotecznych co najmniej w zakresie: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czasopism,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dokumentów elektronicznych,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druków ulotnych,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DVD, płyt CD lub innych nagrań dźwiękowych i innych formatów multimedialnych,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książek,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map,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mikroform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,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nut,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rękopisów,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starodruków,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zasobów cyfrowych,</w:t>
            </w:r>
          </w:p>
          <w:p w:rsidR="00541B5D" w:rsidRPr="00C2516B" w:rsidRDefault="00541B5D" w:rsidP="00541B5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zbiorów ikonograficznych.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zapewniać obsługę poniższych typów rekordów związanych z procesem gromadzenia materiałów bibliotecznych:</w:t>
            </w:r>
          </w:p>
          <w:p w:rsidR="00541B5D" w:rsidRPr="00C2516B" w:rsidRDefault="00541B5D" w:rsidP="00541B5D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czasopisma,</w:t>
            </w:r>
          </w:p>
          <w:p w:rsidR="00541B5D" w:rsidRPr="00C2516B" w:rsidRDefault="00541B5D" w:rsidP="00541B5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dostawców,</w:t>
            </w:r>
          </w:p>
          <w:p w:rsidR="00541B5D" w:rsidRPr="00C2516B" w:rsidRDefault="00541B5D" w:rsidP="00541B5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egzemplarza,</w:t>
            </w:r>
          </w:p>
          <w:p w:rsidR="00541B5D" w:rsidRPr="00C2516B" w:rsidRDefault="00541B5D" w:rsidP="00541B5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funduszy,</w:t>
            </w:r>
          </w:p>
          <w:p w:rsidR="00541B5D" w:rsidRPr="00C2516B" w:rsidRDefault="00541B5D" w:rsidP="00541B5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rachunków,</w:t>
            </w:r>
          </w:p>
          <w:p w:rsidR="00541B5D" w:rsidRPr="00C2516B" w:rsidRDefault="00541B5D" w:rsidP="00541B5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rekordów zamówień.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obsługę procesu gromadzenia z uwzględnieniem rodzajów wpływu, tj. kupna, egzemplarza obowiązkowego, wymiany, darów i depozytu.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obsługę zamówień i rejestrację wpływu z podziałem na poszczególne rodzaje dokumentów (np. książki, czasopisma, mapy, muzykalia, dokumenty ikonograficzne).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obsługę finansową procesu gromadzenia z </w:t>
            </w: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możliwością jej prowadzenia przez połączony z systemem program do obsługi finansowo-księgowej.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obsługę finansową uwzględniającą różne źródła finansowania oraz różne kategorie kosztów (np. koszt wysyłki).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generowanie szablonów korespondencji o treści i formie zdefiniowanej przez użytkownika Systemu.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obsługę formularza zgłoszeń dezyderatów czytelniczych.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generowanie ksiąg inwentarzowych według dowolnych pól rekordu egzemplarza, rekordu bibliograficznego i rekordu czasopisma.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generowanie inwentarza w pliku tekstowym.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pomijanie poszczególnych etapów gromadzenia np. obsługa wpływów bez konieczności zakładania rekordów zamówień.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zapisanie w rekordzie zamówienia co najmniej poniższych danych: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adresu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adresu komórki odpowiedzialnej za realizację zamówienia w bibliotece,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ceny szacunkowej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katalogowania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ostatniej aktualizacji rekordu zamówienia,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wpływu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założenia rekordu zamówienia,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złożenia reklamacji do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złożenia zamówienia na materiał biblioteczny,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docelowa lokalizacja materiału bibliotecznego w bibliotece,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identyfikator dostawcy nadany przez bibliotekę,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identyfikatora autora rekordu zamówienia,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zamówionych egzemplarzy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języka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kraju wydawcy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kursu walutowego,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woluminów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nazwy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nazwy głównej kategorii funduszu,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nazwy komórki odpowiedzialna za realizację zamówienia,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nazwy szczegółowej kategorii funduszu,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poprzedniego zamówienia,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rekordu zamówienia,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poziomu ważności zamówienia,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rodzaju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sposobu nabycia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statusu płatności za zamówienie,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statusu rekordu zamówienia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tymczasowej lokalizacji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typu zamówienia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o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o wpływie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o zamówieniu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wewnętrznej o zamówieniu,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zewnętrznej o zamówieniu,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zakodowanego cykl reklamacji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zakodowanej kategorii tematyczna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zakodowanej nazwy dostawcy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zapisanie w rekordzie dostawcy co najmniej poniższych danych: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adresu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adresu e-mail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adresu FTP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danych teleadresowych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daty ostatniej aktualizacji rekordu dostawcy,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założenia rekordu dostawcy,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bieżących anulowanych zamówień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bieżących reklamacji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bieżących zamówień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faktur/rachunków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wszystkich anulowanych zamówień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wszystkich reklamacji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wszystkich zamówień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wysłanych wiadomości do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języka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komórki odpowiedzialnej za gromadzenie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rekordu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telefonu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oficjalnej nazwy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skrócona nazwa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sposobu pozyskania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typu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uśrednionego tygodniowego wpływu materiału bibliotecznego od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o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o rabacie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ogólnej,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wartości anulowanych zamówień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wartości faktury/rachunku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wartości zamówień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wartości zrealizowanych zamówień dostawcy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zakodowanego cyklu reklamacji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zakodowanej nazwy dostawcy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zapisanie w formularzu funduszu co najmniej poniższych danych: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zamówień z funduszu,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zrealizowanych płatności z funduszu,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zakodowanej nazwy funduszu,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zakodowanego typu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komórki odpowiedzialnej za obsługę funduszu,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wysokości kwoty do zapłaty z głównego funduszu,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wysokości kwoty przyznanej dla głównego funduszu,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wysokości kwoty wykorzystanej z głównego funduszu,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nazwy funduszu,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obciążenia szczegółowych kategorii funduszy,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ogólnej,</w:t>
            </w:r>
          </w:p>
          <w:p w:rsidR="00541B5D" w:rsidRPr="00C2516B" w:rsidRDefault="00541B5D" w:rsidP="00541B5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wysokości wykorzystania funduszu w określonym przedziale czasu.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wprowadzenie w formularzu faktury/rachunku co najmniej poniższych danych:</w:t>
            </w:r>
          </w:p>
          <w:p w:rsidR="00541B5D" w:rsidRPr="00C2516B" w:rsidRDefault="00541B5D" w:rsidP="00541B5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ceny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wystawienia faktury/rachunku za materiał biblioteczny,</w:t>
            </w:r>
          </w:p>
          <w:p w:rsidR="00541B5D" w:rsidRPr="00C2516B" w:rsidRDefault="00541B5D" w:rsidP="00541B5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głównej kategorii funduszu,</w:t>
            </w:r>
          </w:p>
          <w:p w:rsidR="00541B5D" w:rsidRPr="00C2516B" w:rsidRDefault="00541B5D" w:rsidP="00541B5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egzemplarzy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porządkowej pozycji,</w:t>
            </w:r>
          </w:p>
          <w:p w:rsidR="00541B5D" w:rsidRPr="00C2516B" w:rsidRDefault="00541B5D" w:rsidP="00541B5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faktury/rachunku za materiał biblioteczny,</w:t>
            </w:r>
          </w:p>
          <w:p w:rsidR="00541B5D" w:rsidRPr="00C2516B" w:rsidRDefault="00541B5D" w:rsidP="00541B5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rekordu zamówienia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tytułu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ogólnej,</w:t>
            </w:r>
          </w:p>
          <w:p w:rsidR="00541B5D" w:rsidRPr="00C2516B" w:rsidRDefault="00541B5D" w:rsidP="00541B5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waluty faktury/rachunku za materiał biblioteczny.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wprowadzenie w formularzu faktury/rachunku narzędzia pomocniczego w postaci indeksu zawierającego co najmniej następujące dane:</w:t>
            </w:r>
          </w:p>
          <w:p w:rsidR="00541B5D" w:rsidRPr="00C2516B" w:rsidRDefault="00541B5D" w:rsidP="00541B5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autora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ISBN/ISSN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rekordu,</w:t>
            </w:r>
          </w:p>
          <w:p w:rsidR="00541B5D" w:rsidRPr="00C2516B" w:rsidRDefault="00541B5D" w:rsidP="00541B5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tytułu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zapisanie w rekordzie egzemplarza co najmniej poniższych danych: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cech fizycznych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ceny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aktualnego wypożyczenia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aktualnego zwrotu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inwentarzowej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monitu/przypomnienia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ostatniej modyfikacji rekordu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poprzedniego zwrotu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utworzenia rekordu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wpływu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informacji o egzemplarzu (wewnętrzna i zewnętrzna),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informacji o statusie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kodu kreskowego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kodu oprawy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kolejnego numeru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dni prolongaty wypożyczenia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dni przetrzymania wypożyczenia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liczby prolongat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udostępnień egzemplarza materiału bibliotecznego (np. w przeciągu ostatnich 12 miesięcy),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liczby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miejsca lokalizacji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akcesji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identyfikacyjnego aktualnego czytelnika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identyfikacyjnego poprzedniego czytelnika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inwentarzowego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rekordu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numeracji wydawnictwa wieloczęściowego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poprzedniej sygnatury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statusu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sygnatury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typu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typu rekordu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(wewnętrznej i zewnętrznej),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zasady wypożyczeni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źródła wpływu egzemplarza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zdefiniowanie waluty zakupu.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przetwarzanie danych z faktury lub rachunku.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kontrolę płatności.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zmianę ceny materiału bibliotecznego po zrealizowaniu zamówienia.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podłączanie rekordu egzemplarza do więcej niż jednego rekordu bibliograficznego.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automatyczne generowanie reklamacji o niezrealizowanych zamówieniach.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obsługę kodów kreskowych.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modyfikację budżetów w ciągu roku rozliczeniowego.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obsługę zakupów centralnych dla wielu lokalizacji </w:t>
            </w: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(filii i oddziałów biblioteki) oraz zakupy indywidualne dla jednej lokalizacji.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archiwizację faktur i związanych z nimi płatności w okresie do 5 lat od momentu zaksięgowania.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połącznie rekordu bibliograficznego z rekordami: zamówienia, egzemplarza, czasopisma, rezerwacji.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integrację wymienionych wyżej wszystkich funkcji związanych z procesem gromadzenia materiałów bibliotecznych.</w:t>
            </w:r>
          </w:p>
        </w:tc>
      </w:tr>
      <w:tr w:rsidR="00C2516B" w:rsidRPr="00C2516B" w:rsidTr="0028702F">
        <w:tc>
          <w:tcPr>
            <w:tcW w:w="1242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bookmarkStart w:id="15" w:name="_Toc487650365"/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Rejestracja czasopism</w:t>
            </w:r>
            <w:bookmarkEnd w:id="15"/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rejestrację czasopism.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obsługę gromadzenia czasopism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16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karty wpływu czasopisma,</w:t>
            </w:r>
          </w:p>
          <w:p w:rsidR="00541B5D" w:rsidRPr="00C2516B" w:rsidRDefault="00541B5D" w:rsidP="00541B5D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reklamacji wpływu czasopisma, </w:t>
            </w:r>
          </w:p>
          <w:p w:rsidR="00541B5D" w:rsidRPr="00C2516B" w:rsidRDefault="00541B5D" w:rsidP="00541B5D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sposobu nabycia czasopisma,</w:t>
            </w:r>
          </w:p>
          <w:p w:rsidR="00541B5D" w:rsidRPr="00C2516B" w:rsidRDefault="00541B5D" w:rsidP="00541B5D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zamówienia czasopisma.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zapisanie danych o reklamacjach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adresu dostawcy czasopisma,</w:t>
            </w:r>
          </w:p>
          <w:p w:rsidR="00541B5D" w:rsidRPr="00C2516B" w:rsidRDefault="00541B5D" w:rsidP="00541B5D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adresu e-mail dostawcy czasopisma,</w:t>
            </w:r>
          </w:p>
          <w:p w:rsidR="00541B5D" w:rsidRPr="00C2516B" w:rsidRDefault="00541B5D" w:rsidP="00541B5D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danych reklamowanego czasopisma (np. tytuł, numer, zeszyt, ISSN),</w:t>
            </w:r>
          </w:p>
          <w:p w:rsidR="00541B5D" w:rsidRPr="00C2516B" w:rsidRDefault="00541B5D" w:rsidP="00541B5D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reklamacji wpływu czasopisma,</w:t>
            </w:r>
          </w:p>
          <w:p w:rsidR="00541B5D" w:rsidRPr="00C2516B" w:rsidRDefault="00541B5D" w:rsidP="00541B5D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nazwy dostawcy czasopisma,</w:t>
            </w:r>
          </w:p>
          <w:p w:rsidR="00541B5D" w:rsidRPr="00C2516B" w:rsidRDefault="00541B5D" w:rsidP="00541B5D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wyboru sposobu reklamacji czasopisma (pojedynczo lub grupowo).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zmianę statusu reklamowanego czasopisma po dokonaniu reklamacji.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łączenie w rocznik kolejnych numerów  czasopism na podstawie danych z karty wpływu.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tworzenie zestawień reklamowanych czasopism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adresu dostawcy reklamowanego czasopisma,</w:t>
            </w:r>
          </w:p>
          <w:p w:rsidR="00541B5D" w:rsidRPr="00C2516B" w:rsidRDefault="00541B5D" w:rsidP="00541B5D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częstotliwości reklamowanego czasopisma, </w:t>
            </w:r>
          </w:p>
          <w:p w:rsidR="00541B5D" w:rsidRPr="00C2516B" w:rsidRDefault="00541B5D" w:rsidP="00541B5D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 xml:space="preserve">nazwy dostawcy/wydawcy reklamowanego czasopisma, </w:t>
            </w:r>
          </w:p>
          <w:p w:rsidR="00541B5D" w:rsidRPr="00C2516B" w:rsidRDefault="00541B5D" w:rsidP="00541B5D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woluminu/rocznika reklamowanego czasopisma,</w:t>
            </w:r>
          </w:p>
          <w:p w:rsidR="00541B5D" w:rsidRPr="00C2516B" w:rsidRDefault="00541B5D" w:rsidP="00541B5D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planowanej daty wpływu reklamowanego czasopisma.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generowanie oczekiwanych zeszytów czasopism.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wprowadzenie w rekordzie czasopisma co najmniej poniższych danych: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danych dostawcy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przewidywanej reklamacji dostawy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formatu naklejki z kodem kreskowym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egzemplarzy otrzymanych w ramach sposobu nabycia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informacji o oprawie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kodu dostawcy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kodu jednostki opisu fizycznego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kodu kategorii tematycznej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komórki odpowiedzialna za gromadzenie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otrzymanych zeszytów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lokalizacji czasopisma w bibliotece,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akcesji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sposobu nabycia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statusu gromadzenia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statusu rekordu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sygnatury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o dostawcy czasopisma,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wewnętrznej o czasopiśmie,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zewnętrznej o czasopiśmie,</w:t>
            </w:r>
          </w:p>
          <w:p w:rsidR="00541B5D" w:rsidRPr="00C2516B" w:rsidRDefault="00541B5D" w:rsidP="00541B5D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zasobu czasopism.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zakładanie i modyfikację wzorców rejestracji wpływu czasopism.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wprowadzenie w karcie wpływu czasopisma co najmniej następujących danych: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adresu URL do zeszytu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ciągłości numeracji suplementu/indeksu w obrębie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ciągłości numeracji w obrębie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częstotliwości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częstotliwości suplementu/indeksu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przewidywanego wpływu suplementu/indeksu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przewidywanego wpływu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suplementu/indeksu czasopisma (np.: data dzienna, miesiąc, pora roku),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zeszytu czasopisma (np.: data dzienna, miesiąc, pora roku),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dni potrzebnych do oprawy suplementów/indeksów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dni potrzebnych do oprawy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zeszytów czasopisma przeznaczonych do oprawy,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zeszytów suplementów/indeksów czasopisma przeznaczonych do oprawy,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faktycznie otrzymanych zeszytów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przewidywanego wpływu zeszytów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suplementu/indeksu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przewidywanego termin reklamacji wpływu suplementu/indeksu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przewidywanego termin reklamacji wpływu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statusu zeszytu czasopisma,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wewnętrzna o czasopiśmie,</w:t>
            </w:r>
          </w:p>
          <w:p w:rsidR="00541B5D" w:rsidRPr="00C2516B" w:rsidRDefault="00541B5D" w:rsidP="00541B5D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zewnętrzna o czasopiśmie.</w:t>
            </w:r>
          </w:p>
        </w:tc>
      </w:tr>
      <w:tr w:rsidR="00C2516B" w:rsidRPr="00C2516B" w:rsidTr="0028702F">
        <w:tc>
          <w:tcPr>
            <w:tcW w:w="1242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bookmarkStart w:id="16" w:name="_Toc487650367"/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Katalogowanie materiałów bibliotecznych</w:t>
            </w:r>
            <w:bookmarkEnd w:id="16"/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wykonanie na rekordach bibliograficznych, wzorcowych, egzemplarza i czasopism co najmniej poniższych operacji:</w:t>
            </w:r>
          </w:p>
          <w:p w:rsidR="00541B5D" w:rsidRPr="00C2516B" w:rsidRDefault="00541B5D" w:rsidP="00541B5D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edytowania rekordów,</w:t>
            </w:r>
          </w:p>
          <w:p w:rsidR="00541B5D" w:rsidRPr="00C2516B" w:rsidRDefault="00541B5D" w:rsidP="00541B5D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kopiowania rekordów,</w:t>
            </w:r>
          </w:p>
          <w:p w:rsidR="00541B5D" w:rsidRPr="00C2516B" w:rsidRDefault="00541B5D" w:rsidP="00541B5D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modyfikacji rekordów,</w:t>
            </w:r>
          </w:p>
          <w:p w:rsidR="00541B5D" w:rsidRPr="00C2516B" w:rsidRDefault="00541B5D" w:rsidP="00541B5D">
            <w:pPr>
              <w:numPr>
                <w:ilvl w:val="0"/>
                <w:numId w:val="21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przenoszenia rekordów,</w:t>
            </w:r>
          </w:p>
          <w:p w:rsidR="00541B5D" w:rsidRPr="00C2516B" w:rsidRDefault="00541B5D" w:rsidP="00541B5D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usuwania rekordów,</w:t>
            </w:r>
          </w:p>
          <w:p w:rsidR="00541B5D" w:rsidRPr="00C2516B" w:rsidRDefault="00541B5D" w:rsidP="00541B5D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wyszukiwania rekordów,</w:t>
            </w:r>
          </w:p>
          <w:p w:rsidR="00541B5D" w:rsidRPr="00C2516B" w:rsidRDefault="00541B5D" w:rsidP="00541B5D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zakładania rekordów.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 obrębie jednego rekordu</w:t>
            </w:r>
            <w:r w:rsidRPr="00C2516B">
              <w:rPr>
                <w:rFonts w:ascii="Calibri" w:eastAsia="Calibri" w:hAnsi="Calibri" w:cs="Times New Roman"/>
                <w:strike/>
                <w:color w:val="FF0000"/>
              </w:rPr>
              <w:t xml:space="preserve"> </w:t>
            </w: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bibliograficznego, wzorcowego, egzemplarza i czasopism wykonanie co najmniej poniższych operacji:</w:t>
            </w:r>
          </w:p>
          <w:p w:rsidR="00541B5D" w:rsidRPr="00C2516B" w:rsidRDefault="00541B5D" w:rsidP="00541B5D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kopiowania pól i podpól,</w:t>
            </w:r>
          </w:p>
          <w:p w:rsidR="00541B5D" w:rsidRPr="00C2516B" w:rsidRDefault="00541B5D" w:rsidP="00541B5D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usuwania pól i podpól,</w:t>
            </w:r>
          </w:p>
          <w:p w:rsidR="00541B5D" w:rsidRPr="00C2516B" w:rsidRDefault="00541B5D" w:rsidP="00541B5D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przenoszenia pól i podpól.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obsługiwać format zapisu danych MARC21 w pełnym zakresie dla rekordów bibliograficznych i wzorcowych  – zgodnie z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aktualnycm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wykazem pól i podpól umieszczonym w serwisie MARC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Standards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(</w:t>
            </w:r>
            <w:hyperlink r:id="rId7" w:history="1">
              <w:r w:rsidRPr="00C2516B">
                <w:rPr>
                  <w:rFonts w:ascii="Calibri" w:eastAsia="Calibri" w:hAnsi="Calibri" w:cs="Times New Roman"/>
                  <w:strike/>
                  <w:color w:val="FF0000"/>
                  <w:sz w:val="24"/>
                  <w:szCs w:val="24"/>
                  <w:u w:val="single"/>
                </w:rPr>
                <w:t>https://www.loc.gov/marc/</w:t>
              </w:r>
            </w:hyperlink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).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Wykonawca będzie aktualizować pola i podpola formatu MARC21 zgodnie z wykazem zmian umieszczonym w serwisie MARC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Standards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(</w:t>
            </w:r>
            <w:hyperlink r:id="rId8" w:history="1">
              <w:r w:rsidRPr="00C2516B">
                <w:rPr>
                  <w:rFonts w:ascii="Calibri" w:eastAsia="Calibri" w:hAnsi="Calibri" w:cs="Times New Roman"/>
                  <w:strike/>
                  <w:color w:val="FF0000"/>
                  <w:sz w:val="24"/>
                  <w:szCs w:val="24"/>
                  <w:u w:val="single"/>
                </w:rPr>
                <w:t>https://www.loc.gov/marc/</w:t>
              </w:r>
            </w:hyperlink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).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obsługę kartotek haseł wzorcowych.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obsługę kilku języków informacyjno-wyszukiwawczych.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wprowadzenie pomocy kontekstowej w języku polskim do dowolnych pól i podpól w rekordach bibliograficznych, wzorcowych, egzemplarza i czasopism.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blokadę określonych pól i podpól rekordów bibliograficznych, wzorcowych, egzemplarza i czasopism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edytowania pól i podpól,</w:t>
            </w:r>
          </w:p>
          <w:p w:rsidR="00541B5D" w:rsidRPr="00C2516B" w:rsidRDefault="00541B5D" w:rsidP="00541B5D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kopiowania pól i podpól,</w:t>
            </w:r>
          </w:p>
          <w:p w:rsidR="00541B5D" w:rsidRPr="00C2516B" w:rsidRDefault="00541B5D" w:rsidP="00541B5D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usuwania pól i podpól,</w:t>
            </w:r>
          </w:p>
          <w:p w:rsidR="00541B5D" w:rsidRPr="00C2516B" w:rsidRDefault="00541B5D" w:rsidP="00541B5D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przenoszenia pól i podpól.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jednoczesne edytowanie kilku rekordów bibliograficznych lub wzorcowych. 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przenoszenie rekordów egzemplarza, czasopism i zamówień pomiędzy rekordami bibliograficznymi.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blokadę usuwania rekordów bibliograficznych materiałów zamówionych przez czytelnika.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tworzenie rekordów bibliograficznych, wzorcowych, egzemplarza i czasopism przy użyciu zdefiniowanego szablonu lub formularza rekordów.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wprowadzanie danych w innych niż łaciński systemach pisma w rekordach bibliograficznych i wzorcowych (m.in. w polach 400 i 880)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alfabet grecki (starożytny i nowożytny), </w:t>
            </w:r>
          </w:p>
          <w:p w:rsidR="00541B5D" w:rsidRPr="00C2516B" w:rsidRDefault="00541B5D" w:rsidP="00541B5D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cyrylica, </w:t>
            </w:r>
          </w:p>
          <w:p w:rsidR="00541B5D" w:rsidRPr="00C2516B" w:rsidRDefault="00541B5D" w:rsidP="00541B5D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arabskie, </w:t>
            </w:r>
          </w:p>
          <w:p w:rsidR="00541B5D" w:rsidRPr="00C2516B" w:rsidRDefault="00541B5D" w:rsidP="00541B5D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chińskie, </w:t>
            </w:r>
          </w:p>
          <w:p w:rsidR="00541B5D" w:rsidRPr="00C2516B" w:rsidRDefault="00541B5D" w:rsidP="00541B5D">
            <w:pPr>
              <w:numPr>
                <w:ilvl w:val="0"/>
                <w:numId w:val="24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pisma dewanagari,</w:t>
            </w:r>
          </w:p>
          <w:p w:rsidR="00541B5D" w:rsidRPr="00C2516B" w:rsidRDefault="00541B5D" w:rsidP="00541B5D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gruzińskie, </w:t>
            </w:r>
          </w:p>
          <w:p w:rsidR="00541B5D" w:rsidRPr="00C2516B" w:rsidRDefault="00541B5D" w:rsidP="00541B5D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hebrajskie, </w:t>
            </w:r>
          </w:p>
          <w:p w:rsidR="00541B5D" w:rsidRPr="00C2516B" w:rsidRDefault="00541B5D" w:rsidP="00541B5D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japońskie, </w:t>
            </w:r>
          </w:p>
          <w:p w:rsidR="00541B5D" w:rsidRPr="00C2516B" w:rsidRDefault="00541B5D" w:rsidP="00541B5D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koreańskie, </w:t>
            </w:r>
          </w:p>
          <w:p w:rsidR="00541B5D" w:rsidRPr="00C2516B" w:rsidRDefault="00541B5D" w:rsidP="00541B5D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ormiańskie, </w:t>
            </w:r>
          </w:p>
          <w:p w:rsidR="00541B5D" w:rsidRPr="00C2516B" w:rsidRDefault="00541B5D" w:rsidP="00541B5D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pisma perskie.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pobieranie z poziomu indeksu do rekordów bibliograficznych danych z rekordów wzorcowych z grupy pól 1XX formatu MARC21.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wprowadzanie do rekordów bibliograficznych wyrażeń ze zdefiniowanej listy co najmniej dla pól stałej długości.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automatyczne przeniesienie zmian wprowadzonych </w:t>
            </w: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do pola 1XX formatu MARC21 rekordu wzorcowego do innego rekordu wzorcowego związanego odsyłaczami uzupełniającymi.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automatyczną kontrolę aktualności linków umieszczonych w rekordach bibliograficznych i wzorcowych.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automatyczną weryfikację poprawności numerów ISBN/ISSN w rekordach bibliograficznych.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wyszukiwanie rekordów bibliograficznych, wzorcowych, egzemplarza i czasopism według zawartości dowolnego pola z obsługą wyrażeń boolowskich.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wyszukiwanie rekordów bibliograficznych, wzorcowych, egzemplarza i czasopism poprzez dowolne strategie wyszukiwawcze.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wyszukiwanie przez dane zapisane w polach stałej długości – pola  006, 007, 008 formatu MARC21.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posiadać wyszukiwarkę fasetową dla katalogującego.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przeszukiwanie bazy przy użyciu innych niż łaciński systemów pisma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alfabet grecki (starożytny i nowożytny), </w:t>
            </w:r>
          </w:p>
          <w:p w:rsidR="00541B5D" w:rsidRPr="00C2516B" w:rsidRDefault="00541B5D" w:rsidP="00541B5D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cyrylica, </w:t>
            </w:r>
          </w:p>
          <w:p w:rsidR="00541B5D" w:rsidRPr="00C2516B" w:rsidRDefault="00541B5D" w:rsidP="00541B5D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arabskie, </w:t>
            </w:r>
          </w:p>
          <w:p w:rsidR="00541B5D" w:rsidRPr="00C2516B" w:rsidRDefault="00541B5D" w:rsidP="00541B5D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chińskie, </w:t>
            </w:r>
          </w:p>
          <w:p w:rsidR="00541B5D" w:rsidRPr="00C2516B" w:rsidRDefault="00541B5D" w:rsidP="00541B5D">
            <w:pPr>
              <w:numPr>
                <w:ilvl w:val="0"/>
                <w:numId w:val="25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pisma dewanagari,</w:t>
            </w:r>
          </w:p>
          <w:p w:rsidR="00541B5D" w:rsidRPr="00C2516B" w:rsidRDefault="00541B5D" w:rsidP="00541B5D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gruzińskie, </w:t>
            </w:r>
          </w:p>
          <w:p w:rsidR="00541B5D" w:rsidRPr="00C2516B" w:rsidRDefault="00541B5D" w:rsidP="00541B5D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hebrajskie, </w:t>
            </w:r>
          </w:p>
          <w:p w:rsidR="00541B5D" w:rsidRPr="00C2516B" w:rsidRDefault="00541B5D" w:rsidP="00541B5D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japońskie, </w:t>
            </w:r>
          </w:p>
          <w:p w:rsidR="00541B5D" w:rsidRPr="00C2516B" w:rsidRDefault="00541B5D" w:rsidP="00541B5D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koreańskie, </w:t>
            </w:r>
          </w:p>
          <w:p w:rsidR="00541B5D" w:rsidRPr="00C2516B" w:rsidRDefault="00541B5D" w:rsidP="00541B5D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ormiańskie, </w:t>
            </w:r>
          </w:p>
          <w:p w:rsidR="00541B5D" w:rsidRPr="00C2516B" w:rsidRDefault="00541B5D" w:rsidP="00541B5D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pisma perskie.</w:t>
            </w:r>
          </w:p>
        </w:tc>
      </w:tr>
      <w:tr w:rsidR="00C2516B" w:rsidRPr="00C2516B" w:rsidTr="0028702F">
        <w:tc>
          <w:tcPr>
            <w:tcW w:w="1242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bookmarkStart w:id="17" w:name="_Toc487650368"/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Udostępnianie materiałów bibliotecznych</w:t>
            </w:r>
            <w:bookmarkEnd w:id="17"/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zakładanie, modyfikację, usuwanie i wyszukiwanie rekordów czytelnika. 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tworzenie rekordów czytelników przy użyciu zdefiniowanego szablonu lub formularza rekordów.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zawierać, w ramach procesu udostępniania, co najmniej poniższe indeksy wyszukiwawcze:</w:t>
            </w:r>
          </w:p>
          <w:p w:rsidR="00541B5D" w:rsidRPr="00C2516B" w:rsidRDefault="00541B5D" w:rsidP="00541B5D">
            <w:pPr>
              <w:numPr>
                <w:ilvl w:val="0"/>
                <w:numId w:val="26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identyfikator czytelnika,</w:t>
            </w:r>
          </w:p>
          <w:p w:rsidR="00541B5D" w:rsidRPr="00C2516B" w:rsidRDefault="00541B5D" w:rsidP="00541B5D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kod kreskowy czytelnika, </w:t>
            </w:r>
          </w:p>
          <w:p w:rsidR="00541B5D" w:rsidRPr="00C2516B" w:rsidRDefault="00541B5D" w:rsidP="00541B5D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nazwa czytelnika, </w:t>
            </w:r>
          </w:p>
          <w:p w:rsidR="00541B5D" w:rsidRPr="00C2516B" w:rsidRDefault="00541B5D" w:rsidP="00541B5D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rekordu czytelnika.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definiowanie reguł udostępniania materiałów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czasu ważności rezerwacji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definiowania dni zamknięcia biblioteki,</w:t>
            </w:r>
          </w:p>
          <w:p w:rsidR="00541B5D" w:rsidRPr="00C2516B" w:rsidRDefault="00541B5D" w:rsidP="00541B5D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definiowania zasad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godzin otwarcia biblioteki,</w:t>
            </w:r>
          </w:p>
          <w:p w:rsidR="00541B5D" w:rsidRPr="00C2516B" w:rsidRDefault="00541B5D" w:rsidP="00541B5D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miejsca odbioru rezerwacji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tekstów powiadomień związanych z wypożyczeniem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ustalenia wysokości opłat za niedotrzymanie terminu zwrotu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sprawdzanie rekordu czytelnika w trakcie jego zakładania co najmniej w zakresie kontroli duplikatów, np. kodu kreskowego.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generowanie historii wszystkich operacji przeprowadzanych na koncie czytelnika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data i godzina zmiany dokonanej na koncie czytelnika,</w:t>
            </w:r>
          </w:p>
          <w:p w:rsidR="00541B5D" w:rsidRPr="00C2516B" w:rsidRDefault="00541B5D" w:rsidP="00541B5D">
            <w:pPr>
              <w:numPr>
                <w:ilvl w:val="0"/>
                <w:numId w:val="28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informacja o zmianie dokonanej na koncie czytelnika,</w:t>
            </w:r>
          </w:p>
          <w:p w:rsidR="00541B5D" w:rsidRPr="00C2516B" w:rsidRDefault="00541B5D" w:rsidP="00541B5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login pracownika dokonującego zmianę na koncie czytelnika.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definiowanie zasad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co najmniej według następujących warunków:</w:t>
            </w:r>
          </w:p>
          <w:p w:rsidR="00541B5D" w:rsidRPr="00C2516B" w:rsidRDefault="00541B5D" w:rsidP="00541B5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limitu jednoczesnych rezerwacji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limitu jednoczesnych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lokalizacji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okresu wypożyczenia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typu czytelnika,</w:t>
            </w:r>
          </w:p>
          <w:p w:rsidR="00541B5D" w:rsidRPr="00C2516B" w:rsidRDefault="00541B5D" w:rsidP="00541B5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typu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typu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wykonanie na rekordzie czytelnika operacji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anulowania kary za przetrzymanie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anulowania rezerwacji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blokady konta czytelnika,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dodania uwagi o rezerwacji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dokonania wypożyczenia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dokonania zwrotu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kolejkowania rezerwacji wypożyczenia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modyfikacji rezerwacji wypożyczenia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naliczenia kary za przetrzymanie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prolongaty wypożyczenia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wysłania ponaglenia za przetrzymanie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złożenia rezerwacji wypożyczenia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zapisanie w rekordzie czytelnika danych co w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adresu e-mail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adresu korespondencyjnego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adresu zamieszkania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blokady konta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ostatniej aktualizacji konta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ostatniej aktywności czytelnika (np. daty ostatniego wypożyczenia materiału bibliotecznego),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utworzenia rekordu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ważności dokumentu poświadczającego tożsamość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daty ważności karty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grupy statystycznej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ilości reklamacji złożonych przez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informacji o koncie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informacji o lokalizacji zwróconego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kodu kreskowego wypożyczonego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liczby bieżących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liczby wszystkich prolongat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liczby wszystkich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miejsca odbioru rezerwacji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nazwy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karty czytelniczej,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rekordu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numeru telefonu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osobistego numeru identyfikacyjnego (PIN),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ręcznej blokady konta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sposobu przekazania przypomnienia o terminie zwrotu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statusu rekordu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typu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typu i numeru dokumentu poświadczającego tożsamość czytelnika,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wewnętrznej o czytelniku,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nazwy wydziału uczelni związanego z czytelnikiem,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wysokości naliczonej kary za przetrzymanie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wysokości zobowiązań finansowych czytelnika względem biblioteki.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przechowanie danych o rezerwacji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i godziny złożenia rezerwacji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odbioru rezerwacji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ważności rezerwacji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kodu kreskowego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porządkowej,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lokalizacji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miejsce odbioru rezerwacji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nazwy czytelnika,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statusu rezerwacji wypożyczenia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sygnatury egzemplarza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typu czytelnika,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tytułu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o rezerwacji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przechowywanie danych o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wypożyczeniach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w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zwrotu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kodu kreskowego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liczby porządkowej,</w:t>
            </w:r>
          </w:p>
          <w:p w:rsidR="00541B5D" w:rsidRPr="00C2516B" w:rsidRDefault="00541B5D" w:rsidP="00541B5D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lokalizacji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statusu wypożyczenia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sygnatury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tytułu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dokonanie operacji na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wypożyczeniach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prolongowania terminu zwrotu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reklamowania przetrzymania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oznaczenia zagubienia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zmiany daty zwrotu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zapisanie danych o zwrotach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3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zwrotu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kodu kreskowego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kwoty do zapłaty za przetrzymanie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nazwa czytelnika zwracającego materiał bibliotecznego,</w:t>
            </w:r>
          </w:p>
          <w:p w:rsidR="00541B5D" w:rsidRPr="00C2516B" w:rsidRDefault="00541B5D" w:rsidP="00541B5D">
            <w:pPr>
              <w:numPr>
                <w:ilvl w:val="0"/>
                <w:numId w:val="3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status zwrotu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sygnatura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5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tytuł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anulowanie zarejestrowanej w Systemie wpłaty czytelniczej.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wysyłanie automatycznych powiadomień e-mailem dotyczących:</w:t>
            </w:r>
          </w:p>
          <w:p w:rsidR="00541B5D" w:rsidRPr="00C2516B" w:rsidRDefault="00541B5D" w:rsidP="00541B5D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dostępności zarezerwowanego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terminu zwrotu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przetrzymania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grupowe usunięcie wygasłych rezerwacji.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obsługę formularza zgłoszeń dezyderatów czytelniczych.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wydruk zamówień czytelniczych z możliwością definiowania zakresu danych i kolejkowania wydruku.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przechowywanie informacji o wydrukowanych rewersach.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rezerwacje egzemplarzy wypożyczonych. 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składanie rezerwacji w odniesieniu do rekordu egzemplarza lub rekordu bibliograficznego.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generowanie powiadomienia dotyczącego zwróconego egzemplarza, na który została złożona rezerwacja. 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grupową prolongatę terminów zwrotu i rezerwacji.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komunikację z czytelnikami poprzez e-mail i sms w zakresie wysyłania spersonalizowanych wiadomości do pojedynczego użytkownika, do grupy użytkowników lub do wszystkich użytkowników.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ręczną zmianę daty zwrotu.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automatyczne blokowanie konta czytelnika lub wprowadzenie ręcznej blokady konta.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blokadę usunięcia konta czytelnika w przypadku istnienia na nim zaległości.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anulowanie opłat w całej sieci lub tylko dla jednej lokalizacji.</w:t>
            </w:r>
          </w:p>
        </w:tc>
      </w:tr>
      <w:tr w:rsidR="00C2516B" w:rsidRPr="00C2516B" w:rsidTr="0028702F">
        <w:tc>
          <w:tcPr>
            <w:tcW w:w="1242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bookmarkStart w:id="18" w:name="_Toc487650369"/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Wyszukiwarka</w:t>
            </w:r>
            <w:bookmarkEnd w:id="18"/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dostarczy wyszukiwarkę dla każdej z bibliotek przystępujących do projektu.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wyodrębnienie w wyszukiwarce indywidualnych materiałów bibliotecznych każdej z Bibliotek przystępujących do projektu.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zgodny ze standardem WCAG 2.0 w zakresie wyższym niż wskazanym w Rozporządzeniu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na bieżąco aktualizować dane prezentowane w wyszukiwarce.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obsługę wtyczek społecznościowych.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umożliwiać, z poziomu wyszukiwarki, dostęp do możliwości uregulowania opłat za pomocą płatności elektronicznych.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posiadać funkcję podpowiedzi książek o podobnej tematyce.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posiadać funkcję wyświetlana nowości na podstawie ostatnio dodanych materiałów bibliotecznych.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wyświetlanie historii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wyszukiwań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dla danej sesji.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modyfikację i dodawanie tłumaczeń interfejsu dla wszystkich obsługiwanych języków.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dostarczy wyszukiwarkę z interfejsem co najmniej w polskiej i angielskiej wersji językowej.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obsługę funkcji społecznościowych (np.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tagi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, recenzje, rankingi).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jednoczesne przeszukiwanie katalogów lokalnych, baz danych, czasopism, kolekcji ebooków, repozytoriów instytucjonalnych oraz bibliotek cyfrowych i serwisów prenumerowanych przez biblioteki oraz </w:t>
            </w: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>prezentowanie wyników na jednej liście z możliwością wyboru przeszukiwanych zasobów.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opcję wyszukiwania prostego.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opcję wyszukiwania zaawansowanego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37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prawostronnego obcinanie znaków w słowach,</w:t>
            </w:r>
          </w:p>
          <w:p w:rsidR="00541B5D" w:rsidRPr="00C2516B" w:rsidRDefault="00541B5D" w:rsidP="00541B5D">
            <w:pPr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używania operatorów boolowskich, </w:t>
            </w:r>
          </w:p>
          <w:p w:rsidR="00541B5D" w:rsidRPr="00C2516B" w:rsidRDefault="00541B5D" w:rsidP="00541B5D">
            <w:pPr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wyszczególnionych indeksów,</w:t>
            </w:r>
          </w:p>
          <w:p w:rsidR="00541B5D" w:rsidRPr="00C2516B" w:rsidRDefault="00541B5D" w:rsidP="00541B5D">
            <w:pPr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wyszukiwania fraz. 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definiowanie algorytmu wyszukiwawczego - by doprecyzowywać pierwszeństwo wyświetlanych wyników wyszukiwawczych.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wyświetlanie w czasie rzeczywistym statusu dostępności poszukiwanych materiałów.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pobieranie z zewnętrznych serwisów i wyświetlanie w wynikach wyszukiwania co najmniej okładek.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prezentację wyników wyszukiwania co najmniej w sposób:</w:t>
            </w:r>
          </w:p>
          <w:p w:rsidR="00541B5D" w:rsidRPr="00C2516B" w:rsidRDefault="00541B5D" w:rsidP="00541B5D">
            <w:pPr>
              <w:numPr>
                <w:ilvl w:val="0"/>
                <w:numId w:val="38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opisu bibliograficznego w formacie MARC21,</w:t>
            </w:r>
          </w:p>
          <w:p w:rsidR="00541B5D" w:rsidRPr="00C2516B" w:rsidRDefault="00541B5D" w:rsidP="00541B5D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rozszerzonego opisu bibliograficznego,</w:t>
            </w:r>
          </w:p>
          <w:p w:rsidR="00541B5D" w:rsidRPr="00C2516B" w:rsidRDefault="00541B5D" w:rsidP="00541B5D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skróconego opisu bibliograficznego.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wysyłanie wyników wyszukiwania e-mailem lub wysłanie ich do menedżerów bibliografii.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dynamiczne przeładowywanie wyników wyszukiwania i faset po wybraniu danego filtra – bez konieczności przeładowywania całej strony.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sortowanie wyników wyszukiwania według co najmniej poniższych kryteriów:</w:t>
            </w:r>
          </w:p>
          <w:p w:rsidR="00541B5D" w:rsidRPr="00C2516B" w:rsidRDefault="00541B5D" w:rsidP="00541B5D">
            <w:pPr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wydania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39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poziomu trafności wyników wyszukiwania,</w:t>
            </w:r>
          </w:p>
          <w:p w:rsidR="00541B5D" w:rsidRPr="00C2516B" w:rsidRDefault="00541B5D" w:rsidP="00541B5D">
            <w:pPr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tytułu materiału bibliotecznego.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podświetlanie słowa z zapytania w wynikach wyszukiwania.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posiadać funkcję podpowiedzi, synonimów i podobieństw, sugestie nowych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wyszukiwań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wyszukiwanie w innych niż łaciński systemach pisma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alfabetu greckiego (starożytny i nowożytny), </w:t>
            </w:r>
          </w:p>
          <w:p w:rsidR="00541B5D" w:rsidRPr="00C2516B" w:rsidRDefault="00541B5D" w:rsidP="00541B5D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cyrylicy, </w:t>
            </w:r>
          </w:p>
          <w:p w:rsidR="00541B5D" w:rsidRPr="00C2516B" w:rsidRDefault="00541B5D" w:rsidP="00541B5D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arabskiego, </w:t>
            </w:r>
          </w:p>
          <w:p w:rsidR="00541B5D" w:rsidRPr="00C2516B" w:rsidRDefault="00541B5D" w:rsidP="00541B5D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chińskiego, </w:t>
            </w:r>
          </w:p>
          <w:p w:rsidR="00541B5D" w:rsidRPr="00C2516B" w:rsidRDefault="00541B5D" w:rsidP="00541B5D">
            <w:pPr>
              <w:numPr>
                <w:ilvl w:val="0"/>
                <w:numId w:val="40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pisma dewanagari,</w:t>
            </w:r>
          </w:p>
          <w:p w:rsidR="00541B5D" w:rsidRPr="00C2516B" w:rsidRDefault="00541B5D" w:rsidP="00541B5D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gruzińskiego, </w:t>
            </w:r>
          </w:p>
          <w:p w:rsidR="00541B5D" w:rsidRPr="00C2516B" w:rsidRDefault="00541B5D" w:rsidP="00541B5D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hebrajskiego, </w:t>
            </w:r>
          </w:p>
          <w:p w:rsidR="00541B5D" w:rsidRPr="00C2516B" w:rsidRDefault="00541B5D" w:rsidP="00541B5D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japońskiego, </w:t>
            </w:r>
          </w:p>
          <w:p w:rsidR="00541B5D" w:rsidRPr="00C2516B" w:rsidRDefault="00541B5D" w:rsidP="00541B5D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koreańskiego, </w:t>
            </w:r>
          </w:p>
          <w:p w:rsidR="00541B5D" w:rsidRPr="00C2516B" w:rsidRDefault="00541B5D" w:rsidP="00541B5D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pisma ormiańskiego, </w:t>
            </w:r>
          </w:p>
          <w:p w:rsidR="00541B5D" w:rsidRPr="00C2516B" w:rsidRDefault="00541B5D" w:rsidP="00541B5D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pisma perskiego.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umieszczanie, w oknie wyszukiwarki, komunikatów dla czytelników.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fasetowe zawężanie wyników wyszukiwawczych. 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wybór wyrażania liczby wystąpień danego terminu w fasecie w formie liczb bezwzględnych lub procentowej części całego zbioru.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wybieranie wielu zawężeń fasetowych w jednym wyszukiwaniu.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definiowanie faset, ustalania ich nazw i tego, z jakich pól i podpól formatu MARC21 pobierają zawartość.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konwertowanie danych zapisanych w formacie MARC21 na dane wyświetlane w fasetach (np. konwertowanie kodów krajów i języków do języka naturalnego) według samodzielnie zdefiniowanych tablic konwersji.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samodzielne anulowanie rezerwacji przez czytelników na swoim koncie.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Wyszukiwarka będzie umożliwiać eksport historii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rejestrację on-line konta czytelnika.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dostęp do informacji na koncie czytelnika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aktualnej kwoty kar naliczonych za przetrzymanie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anulowania złożonej rezerwacji wypożyczenia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daty ważności rezerwacji wypożyczenia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daty wypożyczenia i przewidywany termin zwrotu materiału bibliotecznego, 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historii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czytelnika, 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kodu kreskowego wypożyczonego materiału bibliotecznego ,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kolejki rezerwacji </w:t>
            </w:r>
            <w:proofErr w:type="spellStart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wypożyczeń</w:t>
            </w:r>
            <w:proofErr w:type="spellEnd"/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miejsca odbioru zamówionego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możliwości samodzielnej aktualizacji własnych danych osobowych i kontaktowych.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statusu materiału bibliotecznego (w zakresie możliwości wypożyczenia),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sygnatury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tytułu materiału bibliotecznego,</w:t>
            </w:r>
          </w:p>
          <w:p w:rsidR="00541B5D" w:rsidRPr="00C2516B" w:rsidRDefault="00541B5D" w:rsidP="00541B5D">
            <w:pPr>
              <w:numPr>
                <w:ilvl w:val="0"/>
                <w:numId w:val="41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uwagi o materiale bibliotecznym.</w:t>
            </w:r>
          </w:p>
        </w:tc>
      </w:tr>
      <w:tr w:rsidR="00C2516B" w:rsidRPr="00C2516B" w:rsidTr="0028702F">
        <w:tc>
          <w:tcPr>
            <w:tcW w:w="1242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6A6A6" w:themeFill="background1" w:themeFillShade="A6"/>
          </w:tcPr>
          <w:p w:rsidR="00541B5D" w:rsidRPr="00C2516B" w:rsidRDefault="00541B5D" w:rsidP="00541B5D">
            <w:pPr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</w:pPr>
            <w:bookmarkStart w:id="19" w:name="_Toc487650370"/>
            <w:r w:rsidRPr="00C2516B">
              <w:rPr>
                <w:rFonts w:ascii="Calibri" w:eastAsia="Calibri" w:hAnsi="Calibri" w:cs="Times New Roman"/>
                <w:b/>
                <w:strike/>
                <w:color w:val="FF0000"/>
                <w:sz w:val="24"/>
                <w:szCs w:val="24"/>
              </w:rPr>
              <w:t>Administracja Systemem</w:t>
            </w:r>
            <w:bookmarkEnd w:id="19"/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dostęp do interfejsu administracyjnego.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Wykonawca zapewni dostęp do kodów systemowych, opcji i parametrów Systemu, profili przesyłania danych. 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dostęp do komunikatów systemowych.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umożliwi definiowanie własnych statystyk i raportów w oparciu o dowolne pole znajdujące się w Systemie, dla którego użytkownik może podać wartość.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 xml:space="preserve">System będzie umożliwiać wdrażanie nowych wersji Systemu, nowych </w:t>
            </w: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lastRenderedPageBreak/>
              <w:t xml:space="preserve">produktów i elementów Systemu. 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sprawdzanie poprawności działania wszystkich funkcji Systemu po każdorazowej instalacji nowej wersji Systemu.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Wykonawca zapewni dostęp do dokumentacji technicznej nowych wersji Systemu, nowych produktów i elementów Systemu.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posiadać interfejs umożliwiający zgłaszanie usterek, błędów i propozycji usprawnień funkcjonalności. Wykonawca zapewni wsparcie serwisowe za pośrednictwem telefonu.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konfigurowanie i administrowanie interfejsu wyszukiwarki.</w:t>
            </w:r>
          </w:p>
        </w:tc>
      </w:tr>
      <w:tr w:rsidR="00C2516B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grupowe zarządzanie kontami użytkowników oraz ich uprawnieniami do poszczególnych opcji i funkcji Systemu.</w:t>
            </w:r>
          </w:p>
        </w:tc>
      </w:tr>
      <w:tr w:rsidR="00541B5D" w:rsidRPr="00C2516B" w:rsidTr="0028702F">
        <w:tc>
          <w:tcPr>
            <w:tcW w:w="1242" w:type="dxa"/>
          </w:tcPr>
          <w:p w:rsidR="00541B5D" w:rsidRPr="00C2516B" w:rsidRDefault="00541B5D" w:rsidP="00541B5D">
            <w:pPr>
              <w:numPr>
                <w:ilvl w:val="1"/>
                <w:numId w:val="43"/>
              </w:numPr>
              <w:spacing w:line="360" w:lineRule="auto"/>
              <w:contextualSpacing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046" w:type="dxa"/>
          </w:tcPr>
          <w:p w:rsidR="00541B5D" w:rsidRPr="00C2516B" w:rsidRDefault="00541B5D" w:rsidP="00541B5D">
            <w:pPr>
              <w:spacing w:line="360" w:lineRule="auto"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System będzie umożliwiać przeprowadzenie operacji na kontach użytkowników co najmniej w poniższym zakresie:</w:t>
            </w:r>
          </w:p>
          <w:p w:rsidR="00541B5D" w:rsidRPr="00C2516B" w:rsidRDefault="00541B5D" w:rsidP="00541B5D">
            <w:pPr>
              <w:numPr>
                <w:ilvl w:val="0"/>
                <w:numId w:val="42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blokowania konta użytkownika,</w:t>
            </w:r>
          </w:p>
          <w:p w:rsidR="00541B5D" w:rsidRPr="00C2516B" w:rsidRDefault="00541B5D" w:rsidP="00541B5D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modyfikacji konta użytkownika,</w:t>
            </w:r>
          </w:p>
          <w:p w:rsidR="00541B5D" w:rsidRPr="00C2516B" w:rsidRDefault="00541B5D" w:rsidP="00541B5D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usuwania konta użytkownika,</w:t>
            </w:r>
          </w:p>
          <w:p w:rsidR="00541B5D" w:rsidRPr="00C2516B" w:rsidRDefault="00541B5D" w:rsidP="00541B5D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C2516B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zakładania konta użytkownika.</w:t>
            </w:r>
          </w:p>
        </w:tc>
      </w:tr>
    </w:tbl>
    <w:p w:rsidR="00541B5D" w:rsidRPr="00C2516B" w:rsidRDefault="00541B5D" w:rsidP="00541B5D">
      <w:pPr>
        <w:spacing w:after="200" w:line="276" w:lineRule="auto"/>
        <w:rPr>
          <w:rFonts w:ascii="Calibri" w:eastAsia="Calibri" w:hAnsi="Calibri" w:cs="Times New Roman"/>
          <w:strike/>
          <w:color w:val="FF0000"/>
        </w:rPr>
      </w:pPr>
    </w:p>
    <w:p w:rsidR="00541B5D" w:rsidRPr="00C2516B" w:rsidRDefault="00541B5D" w:rsidP="00541B5D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Times New Roman"/>
          <w:b/>
          <w:bCs/>
          <w:strike/>
          <w:color w:val="FF0000"/>
          <w:sz w:val="24"/>
          <w:szCs w:val="24"/>
        </w:rPr>
      </w:pPr>
    </w:p>
    <w:p w:rsidR="00A134B2" w:rsidRPr="00C2516B" w:rsidRDefault="00A134B2">
      <w:pPr>
        <w:rPr>
          <w:strike/>
          <w:color w:val="FF0000"/>
        </w:rPr>
      </w:pPr>
    </w:p>
    <w:p w:rsidR="00A134B2" w:rsidRPr="00C2516B" w:rsidRDefault="00A134B2" w:rsidP="00A134B2">
      <w:pPr>
        <w:rPr>
          <w:strike/>
          <w:color w:val="FF0000"/>
        </w:rPr>
      </w:pPr>
    </w:p>
    <w:p w:rsidR="00A134B2" w:rsidRPr="00C2516B" w:rsidRDefault="00A134B2" w:rsidP="00A134B2">
      <w:pPr>
        <w:rPr>
          <w:strike/>
          <w:color w:val="FF0000"/>
        </w:rPr>
      </w:pPr>
    </w:p>
    <w:p w:rsidR="00A134B2" w:rsidRPr="00C2516B" w:rsidRDefault="00A134B2" w:rsidP="00A134B2">
      <w:pPr>
        <w:rPr>
          <w:strike/>
          <w:color w:val="FF0000"/>
        </w:rPr>
      </w:pPr>
    </w:p>
    <w:p w:rsidR="00A134B2" w:rsidRPr="00C2516B" w:rsidRDefault="00A134B2" w:rsidP="00A134B2">
      <w:pPr>
        <w:rPr>
          <w:strike/>
          <w:color w:val="FF0000"/>
        </w:rPr>
      </w:pPr>
    </w:p>
    <w:p w:rsidR="00A134B2" w:rsidRPr="00C2516B" w:rsidRDefault="00A134B2" w:rsidP="00A134B2">
      <w:pPr>
        <w:rPr>
          <w:strike/>
          <w:color w:val="FF0000"/>
        </w:rPr>
      </w:pPr>
    </w:p>
    <w:p w:rsidR="00A134B2" w:rsidRPr="00C2516B" w:rsidRDefault="00A134B2" w:rsidP="00A134B2">
      <w:pPr>
        <w:rPr>
          <w:strike/>
          <w:color w:val="FF0000"/>
        </w:rPr>
      </w:pPr>
    </w:p>
    <w:p w:rsidR="00A134B2" w:rsidRPr="00C2516B" w:rsidRDefault="00A134B2" w:rsidP="00A134B2">
      <w:pPr>
        <w:rPr>
          <w:strike/>
          <w:color w:val="FF0000"/>
        </w:rPr>
      </w:pPr>
    </w:p>
    <w:p w:rsidR="00A134B2" w:rsidRPr="00C2516B" w:rsidRDefault="00A134B2" w:rsidP="00A134B2">
      <w:pPr>
        <w:rPr>
          <w:strike/>
          <w:color w:val="FF0000"/>
        </w:rPr>
      </w:pPr>
    </w:p>
    <w:p w:rsidR="00413F05" w:rsidRPr="00C2516B" w:rsidRDefault="00413F05" w:rsidP="00A134B2">
      <w:pPr>
        <w:rPr>
          <w:strike/>
          <w:color w:val="FF0000"/>
        </w:rPr>
      </w:pPr>
    </w:p>
    <w:p w:rsidR="00413F05" w:rsidRPr="00C2516B" w:rsidRDefault="00413F05" w:rsidP="00413F05">
      <w:pPr>
        <w:rPr>
          <w:strike/>
          <w:color w:val="FF0000"/>
        </w:rPr>
      </w:pPr>
    </w:p>
    <w:p w:rsidR="00413F05" w:rsidRPr="00C2516B" w:rsidRDefault="00413F05" w:rsidP="00413F05">
      <w:pPr>
        <w:rPr>
          <w:strike/>
          <w:color w:val="FF0000"/>
        </w:rPr>
      </w:pPr>
    </w:p>
    <w:p w:rsidR="00413F05" w:rsidRPr="00C2516B" w:rsidRDefault="00413F05" w:rsidP="00413F05">
      <w:pPr>
        <w:rPr>
          <w:strike/>
          <w:color w:val="FF0000"/>
        </w:rPr>
      </w:pPr>
    </w:p>
    <w:p w:rsidR="00413F05" w:rsidRPr="00C2516B" w:rsidRDefault="00413F05" w:rsidP="00413F05">
      <w:pPr>
        <w:rPr>
          <w:strike/>
          <w:color w:val="FF0000"/>
        </w:rPr>
      </w:pPr>
    </w:p>
    <w:p w:rsidR="00413F05" w:rsidRPr="00C2516B" w:rsidRDefault="00413F05" w:rsidP="00413F05">
      <w:pPr>
        <w:rPr>
          <w:strike/>
          <w:color w:val="FF0000"/>
        </w:rPr>
      </w:pPr>
    </w:p>
    <w:p w:rsidR="00413F05" w:rsidRPr="00C2516B" w:rsidRDefault="00413F05" w:rsidP="00413F05">
      <w:pPr>
        <w:rPr>
          <w:strike/>
          <w:color w:val="FF0000"/>
        </w:rPr>
      </w:pPr>
    </w:p>
    <w:p w:rsidR="00413F05" w:rsidRPr="00C2516B" w:rsidRDefault="00413F05" w:rsidP="00413F05">
      <w:pPr>
        <w:rPr>
          <w:strike/>
          <w:color w:val="FF0000"/>
        </w:rPr>
      </w:pPr>
    </w:p>
    <w:p w:rsidR="00413F05" w:rsidRPr="00C2516B" w:rsidRDefault="00413F05" w:rsidP="00413F05">
      <w:pPr>
        <w:rPr>
          <w:strike/>
          <w:color w:val="FF0000"/>
        </w:rPr>
      </w:pPr>
    </w:p>
    <w:p w:rsidR="00EE796C" w:rsidRPr="00C2516B" w:rsidRDefault="00413F05" w:rsidP="00413F05">
      <w:pPr>
        <w:tabs>
          <w:tab w:val="left" w:pos="6708"/>
        </w:tabs>
        <w:rPr>
          <w:strike/>
          <w:color w:val="FF0000"/>
        </w:rPr>
      </w:pPr>
      <w:r w:rsidRPr="00C2516B">
        <w:rPr>
          <w:strike/>
          <w:color w:val="FF0000"/>
        </w:rPr>
        <w:tab/>
      </w:r>
    </w:p>
    <w:sectPr w:rsidR="00EE796C" w:rsidRPr="00C251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9F" w:rsidRDefault="00ED029F" w:rsidP="00A134B2">
      <w:pPr>
        <w:spacing w:after="0" w:line="240" w:lineRule="auto"/>
      </w:pPr>
      <w:r>
        <w:separator/>
      </w:r>
    </w:p>
  </w:endnote>
  <w:endnote w:type="continuationSeparator" w:id="0">
    <w:p w:rsidR="00ED029F" w:rsidRDefault="00ED029F" w:rsidP="00A1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B2" w:rsidRPr="00413F05" w:rsidRDefault="00183604" w:rsidP="00A134B2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57C391B" wp14:editId="79A799C8">
          <wp:simplePos x="0" y="0"/>
          <wp:positionH relativeFrom="margin">
            <wp:posOffset>310498</wp:posOffset>
          </wp:positionH>
          <wp:positionV relativeFrom="margin">
            <wp:posOffset>9125585</wp:posOffset>
          </wp:positionV>
          <wp:extent cx="1021080" cy="480060"/>
          <wp:effectExtent l="0" t="0" r="7620" b="0"/>
          <wp:wrapSquare wrapText="bothSides"/>
          <wp:docPr id="3" name="Obraz 3" descr="logo_FE_Polska_Cyfrow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olska_Cyfrowa_rgb-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0" t="15899" r="9120" b="15268"/>
                  <a:stretch/>
                </pic:blipFill>
                <pic:spPr bwMode="auto">
                  <a:xfrm>
                    <a:off x="0" y="0"/>
                    <a:ext cx="1021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71">
      <w:rPr>
        <w:noProof/>
        <w:sz w:val="20"/>
        <w:lang w:eastAsia="pl-PL"/>
      </w:rPr>
      <w:drawing>
        <wp:anchor distT="0" distB="0" distL="114300" distR="114300" simplePos="0" relativeHeight="251683840" behindDoc="0" locked="0" layoutInCell="1" allowOverlap="1" wp14:anchorId="70CCEEEE" wp14:editId="00F7179A">
          <wp:simplePos x="0" y="0"/>
          <wp:positionH relativeFrom="margin">
            <wp:posOffset>3809365</wp:posOffset>
          </wp:positionH>
          <wp:positionV relativeFrom="margin">
            <wp:posOffset>9162415</wp:posOffset>
          </wp:positionV>
          <wp:extent cx="1616710" cy="407670"/>
          <wp:effectExtent l="0" t="0" r="2540" b="0"/>
          <wp:wrapSquare wrapText="bothSides"/>
          <wp:docPr id="2" name="Obraz 2" descr="C:\Users\b.morawiec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.morawiec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" t="17172" r="5806" b="14317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FCB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22511B3B" wp14:editId="1C8E6753">
          <wp:simplePos x="0" y="0"/>
          <wp:positionH relativeFrom="margin">
            <wp:posOffset>1850390</wp:posOffset>
          </wp:positionH>
          <wp:positionV relativeFrom="margin">
            <wp:posOffset>9152890</wp:posOffset>
          </wp:positionV>
          <wp:extent cx="1473200" cy="398780"/>
          <wp:effectExtent l="0" t="0" r="0" b="1270"/>
          <wp:wrapSquare wrapText="bothSides"/>
          <wp:docPr id="5" name="Obraz 5" descr="C:\Users\b.morawiec\Desktop\OMNIS\materiały graficzne\logotyp\Logotypy\logo_omnis\logo_Om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.morawiec\Desktop\OMNIS\materiały graficzne\logotyp\Logotypy\logo_omnis\logo_Omni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5C6" w:rsidRPr="00413F05">
      <w:rPr>
        <w:noProof/>
        <w:sz w:val="18"/>
        <w:szCs w:val="18"/>
      </w:rPr>
      <w:t>Projekt współfinansowany w ramach Programu Operacyjnego Polska Cyfrowa z Europejskiego Funduszu Rozwoju Regionalnego i budżetu państwa na podstawie Umowy o dofinansowanie nr</w:t>
    </w:r>
    <w:r w:rsidR="00A134B2" w:rsidRPr="00413F05">
      <w:rPr>
        <w:sz w:val="18"/>
        <w:szCs w:val="18"/>
      </w:rPr>
      <w:t xml:space="preserve"> POPC.02.01.00-00-0043/16-0</w:t>
    </w:r>
    <w:r w:rsidR="00286B0F" w:rsidRPr="00413F05">
      <w:rPr>
        <w:sz w:val="18"/>
        <w:szCs w:val="18"/>
      </w:rPr>
      <w:t>1</w:t>
    </w:r>
    <w:r w:rsidR="00A134B2" w:rsidRPr="00413F05">
      <w:rPr>
        <w:sz w:val="18"/>
        <w:szCs w:val="18"/>
      </w:rPr>
      <w:t>.</w:t>
    </w:r>
  </w:p>
  <w:p w:rsidR="00A134B2" w:rsidRPr="00FE19E4" w:rsidRDefault="00A13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9F" w:rsidRDefault="00ED029F" w:rsidP="00A134B2">
      <w:pPr>
        <w:spacing w:after="0" w:line="240" w:lineRule="auto"/>
      </w:pPr>
      <w:r>
        <w:separator/>
      </w:r>
    </w:p>
  </w:footnote>
  <w:footnote w:type="continuationSeparator" w:id="0">
    <w:p w:rsidR="00ED029F" w:rsidRDefault="00ED029F" w:rsidP="00A1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63D"/>
    <w:multiLevelType w:val="hybridMultilevel"/>
    <w:tmpl w:val="47DAD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F43"/>
    <w:multiLevelType w:val="hybridMultilevel"/>
    <w:tmpl w:val="4AA4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F33"/>
    <w:multiLevelType w:val="hybridMultilevel"/>
    <w:tmpl w:val="A0E4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C1A"/>
    <w:multiLevelType w:val="hybridMultilevel"/>
    <w:tmpl w:val="1AB4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3AF"/>
    <w:multiLevelType w:val="hybridMultilevel"/>
    <w:tmpl w:val="5734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1D39"/>
    <w:multiLevelType w:val="hybridMultilevel"/>
    <w:tmpl w:val="AF36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517A3"/>
    <w:multiLevelType w:val="hybridMultilevel"/>
    <w:tmpl w:val="EDB85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330E8"/>
    <w:multiLevelType w:val="hybridMultilevel"/>
    <w:tmpl w:val="C3148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F3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CA2A91"/>
    <w:multiLevelType w:val="multilevel"/>
    <w:tmpl w:val="93046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1B764F"/>
    <w:multiLevelType w:val="hybridMultilevel"/>
    <w:tmpl w:val="24AC3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F67A5"/>
    <w:multiLevelType w:val="hybridMultilevel"/>
    <w:tmpl w:val="E3C6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4DA4"/>
    <w:multiLevelType w:val="hybridMultilevel"/>
    <w:tmpl w:val="BA6A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07E5B"/>
    <w:multiLevelType w:val="hybridMultilevel"/>
    <w:tmpl w:val="7320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F2D03"/>
    <w:multiLevelType w:val="hybridMultilevel"/>
    <w:tmpl w:val="27E26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863A6"/>
    <w:multiLevelType w:val="hybridMultilevel"/>
    <w:tmpl w:val="2FE82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D1584"/>
    <w:multiLevelType w:val="hybridMultilevel"/>
    <w:tmpl w:val="32F4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E5F45"/>
    <w:multiLevelType w:val="hybridMultilevel"/>
    <w:tmpl w:val="5ECC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72DB9"/>
    <w:multiLevelType w:val="hybridMultilevel"/>
    <w:tmpl w:val="80D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A48BD"/>
    <w:multiLevelType w:val="hybridMultilevel"/>
    <w:tmpl w:val="93FC9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04792"/>
    <w:multiLevelType w:val="hybridMultilevel"/>
    <w:tmpl w:val="F1EC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904C4"/>
    <w:multiLevelType w:val="hybridMultilevel"/>
    <w:tmpl w:val="F462E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40954"/>
    <w:multiLevelType w:val="hybridMultilevel"/>
    <w:tmpl w:val="21F04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714E4"/>
    <w:multiLevelType w:val="hybridMultilevel"/>
    <w:tmpl w:val="59C4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D65FA"/>
    <w:multiLevelType w:val="hybridMultilevel"/>
    <w:tmpl w:val="FBE0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15B1E"/>
    <w:multiLevelType w:val="hybridMultilevel"/>
    <w:tmpl w:val="90D2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43987"/>
    <w:multiLevelType w:val="hybridMultilevel"/>
    <w:tmpl w:val="4DFE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C5CC5"/>
    <w:multiLevelType w:val="hybridMultilevel"/>
    <w:tmpl w:val="9286A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54503"/>
    <w:multiLevelType w:val="hybridMultilevel"/>
    <w:tmpl w:val="24CA9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16B1D"/>
    <w:multiLevelType w:val="hybridMultilevel"/>
    <w:tmpl w:val="FB1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A6F5B"/>
    <w:multiLevelType w:val="hybridMultilevel"/>
    <w:tmpl w:val="E6A25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E6B10"/>
    <w:multiLevelType w:val="hybridMultilevel"/>
    <w:tmpl w:val="2ED03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136C1"/>
    <w:multiLevelType w:val="hybridMultilevel"/>
    <w:tmpl w:val="788A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17B6A"/>
    <w:multiLevelType w:val="hybridMultilevel"/>
    <w:tmpl w:val="D148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82CF5"/>
    <w:multiLevelType w:val="hybridMultilevel"/>
    <w:tmpl w:val="BBCC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A7B00"/>
    <w:multiLevelType w:val="hybridMultilevel"/>
    <w:tmpl w:val="009E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A2687"/>
    <w:multiLevelType w:val="hybridMultilevel"/>
    <w:tmpl w:val="A484D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C2B53"/>
    <w:multiLevelType w:val="hybridMultilevel"/>
    <w:tmpl w:val="7A92B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961DB"/>
    <w:multiLevelType w:val="hybridMultilevel"/>
    <w:tmpl w:val="C9A8B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C75EC"/>
    <w:multiLevelType w:val="hybridMultilevel"/>
    <w:tmpl w:val="71E26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71D94"/>
    <w:multiLevelType w:val="hybridMultilevel"/>
    <w:tmpl w:val="EC30A4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7E2FA2"/>
    <w:multiLevelType w:val="hybridMultilevel"/>
    <w:tmpl w:val="2490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028E9"/>
    <w:multiLevelType w:val="hybridMultilevel"/>
    <w:tmpl w:val="71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544C5"/>
    <w:multiLevelType w:val="hybridMultilevel"/>
    <w:tmpl w:val="EAECE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B2B09"/>
    <w:multiLevelType w:val="hybridMultilevel"/>
    <w:tmpl w:val="43020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575BD1"/>
    <w:multiLevelType w:val="hybridMultilevel"/>
    <w:tmpl w:val="3782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7009E"/>
    <w:multiLevelType w:val="hybridMultilevel"/>
    <w:tmpl w:val="D75A4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F33662"/>
    <w:multiLevelType w:val="hybridMultilevel"/>
    <w:tmpl w:val="153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7F46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8702D3C"/>
    <w:multiLevelType w:val="hybridMultilevel"/>
    <w:tmpl w:val="1E120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AD3D33"/>
    <w:multiLevelType w:val="hybridMultilevel"/>
    <w:tmpl w:val="29423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11173E"/>
    <w:multiLevelType w:val="hybridMultilevel"/>
    <w:tmpl w:val="A3266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B6486C"/>
    <w:multiLevelType w:val="hybridMultilevel"/>
    <w:tmpl w:val="4120F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2"/>
  </w:num>
  <w:num w:numId="3">
    <w:abstractNumId w:val="24"/>
  </w:num>
  <w:num w:numId="4">
    <w:abstractNumId w:val="32"/>
  </w:num>
  <w:num w:numId="5">
    <w:abstractNumId w:val="45"/>
  </w:num>
  <w:num w:numId="6">
    <w:abstractNumId w:val="17"/>
  </w:num>
  <w:num w:numId="7">
    <w:abstractNumId w:val="50"/>
  </w:num>
  <w:num w:numId="8">
    <w:abstractNumId w:val="25"/>
  </w:num>
  <w:num w:numId="9">
    <w:abstractNumId w:val="47"/>
  </w:num>
  <w:num w:numId="10">
    <w:abstractNumId w:val="13"/>
  </w:num>
  <w:num w:numId="11">
    <w:abstractNumId w:val="18"/>
  </w:num>
  <w:num w:numId="12">
    <w:abstractNumId w:val="28"/>
  </w:num>
  <w:num w:numId="13">
    <w:abstractNumId w:val="44"/>
  </w:num>
  <w:num w:numId="14">
    <w:abstractNumId w:val="4"/>
  </w:num>
  <w:num w:numId="15">
    <w:abstractNumId w:val="20"/>
  </w:num>
  <w:num w:numId="16">
    <w:abstractNumId w:val="35"/>
  </w:num>
  <w:num w:numId="17">
    <w:abstractNumId w:val="1"/>
  </w:num>
  <w:num w:numId="18">
    <w:abstractNumId w:val="46"/>
  </w:num>
  <w:num w:numId="19">
    <w:abstractNumId w:val="12"/>
  </w:num>
  <w:num w:numId="20">
    <w:abstractNumId w:val="33"/>
  </w:num>
  <w:num w:numId="21">
    <w:abstractNumId w:val="49"/>
  </w:num>
  <w:num w:numId="22">
    <w:abstractNumId w:val="6"/>
  </w:num>
  <w:num w:numId="23">
    <w:abstractNumId w:val="31"/>
  </w:num>
  <w:num w:numId="24">
    <w:abstractNumId w:val="51"/>
  </w:num>
  <w:num w:numId="25">
    <w:abstractNumId w:val="34"/>
  </w:num>
  <w:num w:numId="26">
    <w:abstractNumId w:val="0"/>
  </w:num>
  <w:num w:numId="27">
    <w:abstractNumId w:val="27"/>
  </w:num>
  <w:num w:numId="28">
    <w:abstractNumId w:val="38"/>
  </w:num>
  <w:num w:numId="29">
    <w:abstractNumId w:val="5"/>
  </w:num>
  <w:num w:numId="30">
    <w:abstractNumId w:val="41"/>
  </w:num>
  <w:num w:numId="31">
    <w:abstractNumId w:val="23"/>
  </w:num>
  <w:num w:numId="32">
    <w:abstractNumId w:val="36"/>
  </w:num>
  <w:num w:numId="33">
    <w:abstractNumId w:val="11"/>
  </w:num>
  <w:num w:numId="34">
    <w:abstractNumId w:val="3"/>
  </w:num>
  <w:num w:numId="35">
    <w:abstractNumId w:val="15"/>
  </w:num>
  <w:num w:numId="36">
    <w:abstractNumId w:val="26"/>
  </w:num>
  <w:num w:numId="37">
    <w:abstractNumId w:val="42"/>
  </w:num>
  <w:num w:numId="38">
    <w:abstractNumId w:val="16"/>
  </w:num>
  <w:num w:numId="39">
    <w:abstractNumId w:val="21"/>
  </w:num>
  <w:num w:numId="40">
    <w:abstractNumId w:val="2"/>
  </w:num>
  <w:num w:numId="41">
    <w:abstractNumId w:val="22"/>
  </w:num>
  <w:num w:numId="42">
    <w:abstractNumId w:val="19"/>
  </w:num>
  <w:num w:numId="43">
    <w:abstractNumId w:val="8"/>
  </w:num>
  <w:num w:numId="44">
    <w:abstractNumId w:val="43"/>
  </w:num>
  <w:num w:numId="45">
    <w:abstractNumId w:val="14"/>
  </w:num>
  <w:num w:numId="46">
    <w:abstractNumId w:val="7"/>
  </w:num>
  <w:num w:numId="47">
    <w:abstractNumId w:val="37"/>
  </w:num>
  <w:num w:numId="48">
    <w:abstractNumId w:val="29"/>
  </w:num>
  <w:num w:numId="49">
    <w:abstractNumId w:val="40"/>
  </w:num>
  <w:num w:numId="50">
    <w:abstractNumId w:val="48"/>
  </w:num>
  <w:num w:numId="51">
    <w:abstractNumId w:val="9"/>
  </w:num>
  <w:num w:numId="52">
    <w:abstractNumId w:val="30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B2"/>
    <w:rsid w:val="00002FB4"/>
    <w:rsid w:val="00050B42"/>
    <w:rsid w:val="00084D46"/>
    <w:rsid w:val="00091B65"/>
    <w:rsid w:val="00103F14"/>
    <w:rsid w:val="00104052"/>
    <w:rsid w:val="00183604"/>
    <w:rsid w:val="001F2C7A"/>
    <w:rsid w:val="00235F60"/>
    <w:rsid w:val="00286B0F"/>
    <w:rsid w:val="002C2FCB"/>
    <w:rsid w:val="00413F05"/>
    <w:rsid w:val="004477E6"/>
    <w:rsid w:val="0046458D"/>
    <w:rsid w:val="004E55C6"/>
    <w:rsid w:val="00541B5D"/>
    <w:rsid w:val="00585DC4"/>
    <w:rsid w:val="006471B6"/>
    <w:rsid w:val="00667780"/>
    <w:rsid w:val="006B4F0B"/>
    <w:rsid w:val="006C54D7"/>
    <w:rsid w:val="0072451C"/>
    <w:rsid w:val="00767445"/>
    <w:rsid w:val="00802871"/>
    <w:rsid w:val="00943702"/>
    <w:rsid w:val="00957648"/>
    <w:rsid w:val="009F7D7F"/>
    <w:rsid w:val="00A134B2"/>
    <w:rsid w:val="00B273DA"/>
    <w:rsid w:val="00C2516B"/>
    <w:rsid w:val="00C45C22"/>
    <w:rsid w:val="00D2322F"/>
    <w:rsid w:val="00DC111C"/>
    <w:rsid w:val="00E9082C"/>
    <w:rsid w:val="00ED029F"/>
    <w:rsid w:val="00FA6AC4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54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1B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B2"/>
  </w:style>
  <w:style w:type="paragraph" w:styleId="Stopka">
    <w:name w:val="footer"/>
    <w:basedOn w:val="Normalny"/>
    <w:link w:val="Stopka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B2"/>
  </w:style>
  <w:style w:type="paragraph" w:styleId="Tekstdymka">
    <w:name w:val="Balloon Text"/>
    <w:basedOn w:val="Normalny"/>
    <w:link w:val="TekstdymkaZnak"/>
    <w:uiPriority w:val="99"/>
    <w:semiHidden/>
    <w:unhideWhenUsed/>
    <w:rsid w:val="00A1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B2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541B5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41B5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541B5D"/>
  </w:style>
  <w:style w:type="table" w:styleId="Tabela-Siatka">
    <w:name w:val="Table Grid"/>
    <w:basedOn w:val="Standardowy"/>
    <w:uiPriority w:val="59"/>
    <w:rsid w:val="0054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1"/>
    <w:uiPriority w:val="9"/>
    <w:rsid w:val="00541B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541B5D"/>
  </w:style>
  <w:style w:type="paragraph" w:styleId="Akapitzlist">
    <w:name w:val="List Paragraph"/>
    <w:aliases w:val="Numerowanie,Akapit z listą BS,lp1,Preambuła,List Paragraph"/>
    <w:basedOn w:val="Normalny"/>
    <w:link w:val="AkapitzlistZnak"/>
    <w:uiPriority w:val="99"/>
    <w:qFormat/>
    <w:rsid w:val="00541B5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ist Paragraph Znak"/>
    <w:link w:val="Akapitzlist"/>
    <w:uiPriority w:val="99"/>
    <w:rsid w:val="00541B5D"/>
  </w:style>
  <w:style w:type="character" w:customStyle="1" w:styleId="Hipercze1">
    <w:name w:val="Hiperłącze1"/>
    <w:basedOn w:val="Domylnaczcionkaakapitu"/>
    <w:uiPriority w:val="99"/>
    <w:unhideWhenUsed/>
    <w:rsid w:val="00541B5D"/>
    <w:rPr>
      <w:color w:val="0000FF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541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1B5D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1B5D"/>
    <w:pPr>
      <w:tabs>
        <w:tab w:val="left" w:pos="440"/>
        <w:tab w:val="right" w:leader="dot" w:pos="9062"/>
      </w:tabs>
      <w:spacing w:after="100" w:line="276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1B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541B5D"/>
    <w:pPr>
      <w:spacing w:after="100" w:line="276" w:lineRule="auto"/>
      <w:ind w:left="2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B5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B5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41B5D"/>
    <w:rPr>
      <w:color w:val="0563C1" w:themeColor="hyperlink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541B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mar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c.gov/mar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6883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2017-11-17T10:49:00Z</dcterms:created>
  <dcterms:modified xsi:type="dcterms:W3CDTF">2017-11-17T10:49:00Z</dcterms:modified>
</cp:coreProperties>
</file>