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07F7" w:rsidRPr="00931CE4" w:rsidRDefault="00E33613" w:rsidP="00931CE4">
      <w:pPr>
        <w:pStyle w:val="Nagwek2"/>
        <w:spacing w:before="0" w:line="240" w:lineRule="auto"/>
        <w:jc w:val="both"/>
        <w:rPr>
          <w:b/>
          <w:u w:val="single"/>
        </w:rPr>
      </w:pPr>
      <w:r w:rsidRPr="00931CE4">
        <w:rPr>
          <w:b/>
          <w:u w:val="single"/>
        </w:rPr>
        <w:t xml:space="preserve">Zadanie 1 - </w:t>
      </w:r>
      <w:r w:rsidR="00F2711B" w:rsidRPr="00931CE4">
        <w:rPr>
          <w:b/>
          <w:u w:val="single"/>
        </w:rPr>
        <w:t>Profesjonalny pakiet narzędzi graficznych do różnorodnych zastosowań grafiki komputerowej - 16 licencji akademickich.</w:t>
      </w:r>
    </w:p>
    <w:p w:rsidR="00F2711B" w:rsidRDefault="00F2711B" w:rsidP="00931CE4">
      <w:pPr>
        <w:spacing w:after="0" w:line="240" w:lineRule="auto"/>
        <w:jc w:val="both"/>
      </w:pPr>
    </w:p>
    <w:p w:rsidR="00F2711B" w:rsidRDefault="00F2711B" w:rsidP="00931CE4">
      <w:pPr>
        <w:spacing w:after="0" w:line="240" w:lineRule="auto"/>
        <w:jc w:val="both"/>
      </w:pPr>
      <w:r>
        <w:t>Oprogramowanie do projektowania graficznego służące do : tworzenia grafiki wektorowej i skład stron, rysowania i trasowania, profesjonalnej edycji zdjęć, tworzenia witryn internetowych.</w:t>
      </w:r>
    </w:p>
    <w:p w:rsidR="00F2711B" w:rsidRDefault="00F2711B" w:rsidP="00931CE4">
      <w:pPr>
        <w:spacing w:after="0" w:line="240" w:lineRule="auto"/>
        <w:jc w:val="both"/>
      </w:pPr>
      <w:r>
        <w:t>Oprogramowanie do projektowania grafiki zapewniającej skuteczną komunikację wizualną. Oprogramowanie oferujące narzędzia do tworzenia grafiki wektorowej, układu stron, edycji zdjęć, trasowania, przygotowywania grafik internetowych i animacji w jednym integrowanym pakiecie.</w:t>
      </w:r>
    </w:p>
    <w:p w:rsidR="00F2711B" w:rsidRDefault="00F2711B" w:rsidP="00931CE4">
      <w:pPr>
        <w:spacing w:after="0" w:line="240" w:lineRule="auto"/>
        <w:jc w:val="both"/>
      </w:pPr>
      <w:r>
        <w:t>Najważniejsze cechy produktu;</w:t>
      </w:r>
    </w:p>
    <w:p w:rsidR="00F2711B" w:rsidRDefault="00F2711B" w:rsidP="00931CE4">
      <w:pPr>
        <w:spacing w:after="0" w:line="240" w:lineRule="auto"/>
        <w:jc w:val="both"/>
      </w:pPr>
      <w:r>
        <w:t>•</w:t>
      </w:r>
      <w:r>
        <w:tab/>
        <w:t>Zorganizuje wszystkie materiały - pełnoekranowa przeglądarka, dzięki której uzyska się szybki dostęp do każdej grafiki, szablonu, czcionki i obrazka z dowolnego miejsca na komputerze, projekt może zostać wzbogacony o materiały w ciągu jednego kliknięcia.</w:t>
      </w:r>
    </w:p>
    <w:p w:rsidR="00F2711B" w:rsidRDefault="00F2711B" w:rsidP="00931CE4">
      <w:pPr>
        <w:spacing w:after="0" w:line="240" w:lineRule="auto"/>
        <w:jc w:val="both"/>
      </w:pPr>
      <w:r>
        <w:t>•</w:t>
      </w:r>
      <w:r>
        <w:tab/>
        <w:t xml:space="preserve">Kompatybilny z różnymi formatami plików - program powinien dawać możliwość otwierania, edycji i zapisywania ponad 100 różnych formatach, m.in. Al, PSD, DOCX, ODF, EPS (język </w:t>
      </w:r>
      <w:proofErr w:type="spellStart"/>
      <w:r>
        <w:t>PostScript</w:t>
      </w:r>
      <w:proofErr w:type="spellEnd"/>
      <w:r>
        <w:t xml:space="preserve"> 3 w rozszerzonej wersji) i DXF.</w:t>
      </w:r>
    </w:p>
    <w:p w:rsidR="00F2711B" w:rsidRDefault="00F2711B" w:rsidP="00931CE4">
      <w:pPr>
        <w:spacing w:after="0" w:line="240" w:lineRule="auto"/>
        <w:jc w:val="both"/>
      </w:pPr>
      <w:r>
        <w:t>•</w:t>
      </w:r>
      <w:r>
        <w:tab/>
        <w:t>Różnorodność barw - program powinien dawać możliwość zachować profile barw importowanych z innych plików zewnętrznych. Domyślne ustawienia pozwalają automatycznie dopasować je w trakcie importowania.</w:t>
      </w:r>
    </w:p>
    <w:p w:rsidR="00F2711B" w:rsidRDefault="00F2711B" w:rsidP="00931CE4">
      <w:pPr>
        <w:spacing w:after="0" w:line="240" w:lineRule="auto"/>
        <w:jc w:val="both"/>
      </w:pPr>
      <w:r>
        <w:t>•</w:t>
      </w:r>
      <w:r>
        <w:tab/>
        <w:t>Różnorodność narzędzi pomagających rysować - program dający możliwość rysowania i projektowania intuicyjnego, dzięki ulepszonym środkom artystycznym i narzędziom rysującym, które zależą od nacisku, nachylenia i kąta, jaki posiada oprawa pisaka na tablecie graficznym,</w:t>
      </w:r>
    </w:p>
    <w:p w:rsidR="00F2711B" w:rsidRDefault="00F2711B" w:rsidP="00931CE4">
      <w:pPr>
        <w:spacing w:after="0" w:line="240" w:lineRule="auto"/>
        <w:jc w:val="both"/>
      </w:pPr>
      <w:r>
        <w:t>•</w:t>
      </w:r>
      <w:r>
        <w:tab/>
        <w:t xml:space="preserve">Możliwość zaawansowanej edycji obrazów - możliwość korzystania z nowych efektów fotograficznych, np. z efektu Żywości, Skali szarości czy filtru fotograficznego. Zachowywanie filtrów następuje podczas importu i eksportu plików typu PSD Adobe </w:t>
      </w:r>
      <w:proofErr w:type="spellStart"/>
      <w:r>
        <w:t>Photoshop</w:t>
      </w:r>
      <w:proofErr w:type="spellEnd"/>
      <w:r>
        <w:t xml:space="preserve"> CS 4. Kompatybilność z plikami w formacie RAW, wykorzystywanych w ponad 300 aparatach fotograficznych.</w:t>
      </w:r>
    </w:p>
    <w:p w:rsidR="00F2711B" w:rsidRDefault="00F2711B" w:rsidP="00931CE4">
      <w:pPr>
        <w:spacing w:after="0" w:line="240" w:lineRule="auto"/>
        <w:jc w:val="both"/>
      </w:pPr>
      <w:r>
        <w:t>•</w:t>
      </w:r>
      <w:r>
        <w:tab/>
        <w:t xml:space="preserve">Tworzenie grafik i animacji internetowych - sprawność grafika i animacja przeznaczona do publikacji w sieci - optymalizowane filtry winny tworzyć pliki o wysokiej jakości, w formacie internetowym, posiadające właściwe cechy, m.in. są przezroczyste, dobrze wykadrowane i zgodne z przeglądarkami. Projekt może byś stworzony np. w </w:t>
      </w:r>
      <w:proofErr w:type="spellStart"/>
      <w:r>
        <w:t>CorelDRAW</w:t>
      </w:r>
      <w:proofErr w:type="spellEnd"/>
      <w:r>
        <w:t xml:space="preserve">, a później otworzony za pomocą np. </w:t>
      </w:r>
      <w:proofErr w:type="spellStart"/>
      <w:r>
        <w:t>SWiSH</w:t>
      </w:r>
      <w:proofErr w:type="spellEnd"/>
      <w:r>
        <w:t xml:space="preserve"> </w:t>
      </w:r>
      <w:proofErr w:type="spellStart"/>
      <w:r>
        <w:t>miniMax</w:t>
      </w:r>
      <w:proofErr w:type="spellEnd"/>
      <w:r>
        <w:t xml:space="preserve"> 2  i gotowy do wprowadzenia animacji. Program umożliwia sterowanie ruchami, rysowanie kształtów i edycję tekstu. Tryb pikseli pomaga zobaczyć jak projekt będzie wyglądał po umieszczeniu go w sieci. Możliwość porównywania formaty plików przed przystąpieniem do eksportu, co powinno pozwalać na optymalizację ustawień i uzyskanie najwyższej, jakości pliku.</w:t>
      </w:r>
    </w:p>
    <w:p w:rsidR="00F2711B" w:rsidRDefault="00F2711B" w:rsidP="00931CE4">
      <w:pPr>
        <w:spacing w:after="0" w:line="240" w:lineRule="auto"/>
        <w:jc w:val="both"/>
      </w:pPr>
      <w:r>
        <w:t>•</w:t>
      </w:r>
      <w:r>
        <w:tab/>
        <w:t>Mechanizmu zarządzającego barwami - kontrola nad spójnością kolorystyczną przy szerokiej gamie mediów oraz możliwość generowania odrębnej palety barw przy pracy z każdym dokumentem z osobna. Dzięki nowemu mechanizmowi zarządzania barwami możliwe jest osiągnięcie większej wierności koloru oraz obsługa nowego profilu barw PANTONE.</w:t>
      </w:r>
    </w:p>
    <w:p w:rsidR="00F2711B" w:rsidRDefault="00F2711B" w:rsidP="00931CE4">
      <w:pPr>
        <w:spacing w:after="0" w:line="240" w:lineRule="auto"/>
        <w:jc w:val="both"/>
      </w:pPr>
      <w:r>
        <w:t>•</w:t>
      </w:r>
      <w:r>
        <w:tab/>
        <w:t>Zgodność plików i obsługiwanie plików PDF - prace mogą zostać przystosowane do wybranego celu i udostępnione w wybranej postaci, ponieważ program obsługuje pliki w ponad 60 formatach, m.in. PDF, JPG, PNG, EPS, Al, TIFF, PSD, DOCX i PPT. Pliki PDF mogą być chronione hasłami, dzięki czemu dostęp do nich przy wyświetlaniu, edycji i druku oraz ich bezpieczeństwo zostają konkretnie określone.</w:t>
      </w:r>
    </w:p>
    <w:p w:rsidR="00F2711B" w:rsidRDefault="00F2711B" w:rsidP="00931CE4">
      <w:pPr>
        <w:spacing w:after="0" w:line="240" w:lineRule="auto"/>
        <w:jc w:val="both"/>
      </w:pPr>
      <w:r>
        <w:t>•</w:t>
      </w:r>
      <w:r>
        <w:tab/>
        <w:t>Opcja pomocna przy pracach drukarskich - zbieranie czcionek, profili barw czy innych informacji o plikach, co jest bardzo pomocne przy przekazywaniu projektu usługodawcom poligraficznym.</w:t>
      </w:r>
    </w:p>
    <w:p w:rsidR="00F2711B" w:rsidRDefault="00F2711B" w:rsidP="00931CE4">
      <w:pPr>
        <w:spacing w:after="0" w:line="240" w:lineRule="auto"/>
        <w:jc w:val="both"/>
      </w:pPr>
      <w:r>
        <w:t>•</w:t>
      </w:r>
      <w:r>
        <w:tab/>
        <w:t>Możliwość wydruku seryjnego - program daje możliwość łączenia tekstu ze źródłem danych z obrazem, dzięki czemu w szybki sposób można stworzyć wiele spersonalizowanych zaproszeń, etykiet czy innych spersonalizowanych projektów.</w:t>
      </w:r>
    </w:p>
    <w:p w:rsidR="00F2711B" w:rsidRDefault="00F2711B" w:rsidP="00931CE4">
      <w:pPr>
        <w:spacing w:after="0" w:line="240" w:lineRule="auto"/>
        <w:jc w:val="both"/>
      </w:pPr>
      <w:r>
        <w:lastRenderedPageBreak/>
        <w:t>•</w:t>
      </w:r>
      <w:r>
        <w:tab/>
        <w:t>Obsługa procesorów wielordzeniowych - daje możliwość skrócenia czasu pracy, z pomocą przetwarzania wielordzeniowego, optymalizującego wydajność komputera i jego moc obliczeniową, dzięki czemu komputer szybciej realizuje polecenia.</w:t>
      </w:r>
    </w:p>
    <w:p w:rsidR="00F2711B" w:rsidRDefault="00F2711B" w:rsidP="00931CE4">
      <w:pPr>
        <w:spacing w:after="0" w:line="240" w:lineRule="auto"/>
        <w:jc w:val="both"/>
      </w:pPr>
      <w:r>
        <w:t>•</w:t>
      </w:r>
      <w:r>
        <w:tab/>
        <w:t>Zastosowanie optymalizacji z myślą o najnowszych platformach Windows - gwarancja bezproblemowej pracy, nieważne, jaki system operacyjny posiada komputer. Możliwość pracy z Windows 7( korzystanie z ekranu dotykowego), jak również z Windows Vista i XP. Dodatkowe rozwiązania techniczne Windows 7 umożliwiają przesuwanie, powiększanie i przewijanie grafiki.</w:t>
      </w:r>
    </w:p>
    <w:p w:rsidR="00F2711B" w:rsidRDefault="00F2711B" w:rsidP="00931CE4">
      <w:pPr>
        <w:spacing w:after="0" w:line="240" w:lineRule="auto"/>
        <w:jc w:val="both"/>
      </w:pPr>
      <w:r>
        <w:t>•</w:t>
      </w:r>
      <w:r>
        <w:tab/>
        <w:t>Zastosowanie technologii automatyzacji - rozwiązania pomagające rejestrować makra i automatyzować czasochłonne operacje. Microsoft Visual Studio for Applications (VSTA) jest technologią pozwalającą rejestrować makra i tworzyć własne rozwiązania dodatkowe, które wzbogacą zakres funkcjonalności pakietu.</w:t>
      </w:r>
    </w:p>
    <w:p w:rsidR="00F2711B" w:rsidRDefault="00F2711B" w:rsidP="00931CE4">
      <w:pPr>
        <w:spacing w:after="0" w:line="240" w:lineRule="auto"/>
        <w:jc w:val="both"/>
      </w:pPr>
      <w:r>
        <w:t>Składniki pakietu:</w:t>
      </w:r>
    </w:p>
    <w:p w:rsidR="00F2711B" w:rsidRDefault="00F2711B" w:rsidP="00931CE4">
      <w:pPr>
        <w:spacing w:after="0" w:line="240" w:lineRule="auto"/>
        <w:jc w:val="both"/>
      </w:pPr>
      <w:r>
        <w:t>•</w:t>
      </w:r>
      <w:r>
        <w:tab/>
        <w:t>narzędzie do przechwytywania ekranów,</w:t>
      </w:r>
    </w:p>
    <w:p w:rsidR="00F2711B" w:rsidRDefault="00F2711B" w:rsidP="00931CE4">
      <w:pPr>
        <w:spacing w:after="0" w:line="240" w:lineRule="auto"/>
        <w:jc w:val="both"/>
      </w:pPr>
      <w:r>
        <w:t>•</w:t>
      </w:r>
      <w:r>
        <w:tab/>
        <w:t>zintegrowane z programem narzędzie do przekształcania bitmap w grafikę wektorową,</w:t>
      </w:r>
    </w:p>
    <w:p w:rsidR="00F2711B" w:rsidRDefault="00F2711B" w:rsidP="00931CE4">
      <w:pPr>
        <w:spacing w:after="0" w:line="240" w:lineRule="auto"/>
        <w:jc w:val="both"/>
      </w:pPr>
      <w:r>
        <w:t>•</w:t>
      </w:r>
      <w:r>
        <w:tab/>
        <w:t>aplikacja do projektowania serwisów internetowych,</w:t>
      </w:r>
    </w:p>
    <w:p w:rsidR="00F2711B" w:rsidRDefault="00F2711B" w:rsidP="00931CE4">
      <w:pPr>
        <w:spacing w:after="0" w:line="240" w:lineRule="auto"/>
        <w:jc w:val="both"/>
      </w:pPr>
      <w:r>
        <w:t>•</w:t>
      </w:r>
      <w:r>
        <w:tab/>
        <w:t>wtyczka wzbogacająca funkcjonalność pakietu o unikalne algorytmy powiększania obrazów bitmapowych (wymaga rejestracji oprogramowania),</w:t>
      </w:r>
    </w:p>
    <w:p w:rsidR="00F2711B" w:rsidRDefault="00F2711B" w:rsidP="00931CE4">
      <w:pPr>
        <w:spacing w:after="0" w:line="240" w:lineRule="auto"/>
        <w:jc w:val="both"/>
      </w:pPr>
      <w:r>
        <w:t>•</w:t>
      </w:r>
      <w:r>
        <w:tab/>
        <w:t>dodatkowe narzędzia, tj.: Kreator druku dwustronnego, Kreator kodów paskowych, narzędzie do zarządzania fontami zainstalowanymi w systemie,</w:t>
      </w:r>
    </w:p>
    <w:p w:rsidR="00F2711B" w:rsidRDefault="00F2711B" w:rsidP="00931CE4">
      <w:pPr>
        <w:spacing w:after="0" w:line="240" w:lineRule="auto"/>
        <w:jc w:val="both"/>
      </w:pPr>
      <w:r>
        <w:t>•</w:t>
      </w:r>
      <w:r>
        <w:tab/>
        <w:t xml:space="preserve">Zasoby graficzne obejmujące min: 10 tys. klipartów i ilustracji, 2000 zdjęć o wysokiej rozdzielczości, 1000 czcionek w standardzie </w:t>
      </w:r>
      <w:proofErr w:type="spellStart"/>
      <w:r>
        <w:t>OpenType</w:t>
      </w:r>
      <w:proofErr w:type="spellEnd"/>
      <w:r>
        <w:t>, 350 gotowych szablonów do wykorzystania we własnych projektach, 2000 szablonów grafik różnego typu pojazdów, 800 ramek i deseni.</w:t>
      </w:r>
    </w:p>
    <w:p w:rsidR="00F2711B" w:rsidRDefault="00F2711B" w:rsidP="00931CE4">
      <w:pPr>
        <w:spacing w:after="0" w:line="240" w:lineRule="auto"/>
        <w:jc w:val="both"/>
      </w:pPr>
      <w:r>
        <w:t>•</w:t>
      </w:r>
      <w:r>
        <w:tab/>
        <w:t>Dokumentacja i pomoc: pliki pomocy, przewodnik szybkiego startu, karta szybkiego wyszukiwania, szkoleniowe nagrania wideo.</w:t>
      </w:r>
    </w:p>
    <w:p w:rsidR="00F2711B" w:rsidRDefault="00F2711B" w:rsidP="00931CE4">
      <w:pPr>
        <w:spacing w:after="0" w:line="240" w:lineRule="auto"/>
        <w:jc w:val="both"/>
      </w:pPr>
    </w:p>
    <w:p w:rsidR="00F2711B" w:rsidRDefault="00F2711B" w:rsidP="00931CE4">
      <w:pPr>
        <w:spacing w:after="0" w:line="240" w:lineRule="auto"/>
        <w:jc w:val="both"/>
      </w:pPr>
    </w:p>
    <w:p w:rsidR="00F2711B" w:rsidRDefault="00F2711B" w:rsidP="00931CE4">
      <w:pPr>
        <w:spacing w:after="0" w:line="240" w:lineRule="auto"/>
        <w:jc w:val="both"/>
      </w:pPr>
      <w:r>
        <w:t xml:space="preserve">Ze względu na specyfikę zamówienia i niemożność opisania przedmiotu zamówienia za pomocą dostatecznie dokładnych parametrów i funkcjonalności, Zamawiający używa nazw własnych i znaków towarowych z zastrzeżeniem, że dopuszcza składanie ofert równoważnych. Specyfika zamówienia polega na wyposażeniu sali wykładowej w specjalistyczne i unikalne oprogramowanie do prowadzenia zajęć dydaktycznych z przedmiotów Grafika Komputerowa oraz Grafika Komputerowa i Wizualizacja przez nauczycieli akademickich w oparciu o oprogramowanie </w:t>
      </w:r>
      <w:proofErr w:type="spellStart"/>
      <w:r>
        <w:t>CorelDRAW</w:t>
      </w:r>
      <w:proofErr w:type="spellEnd"/>
      <w:r>
        <w:t xml:space="preserve"> Graphics Suite X7 w wersji edukacyjnej, którzy znają w stopniu zaawansowanym oprogramowanie </w:t>
      </w:r>
      <w:proofErr w:type="spellStart"/>
      <w:r>
        <w:t>CorelDRAW</w:t>
      </w:r>
      <w:proofErr w:type="spellEnd"/>
      <w:r>
        <w:t xml:space="preserve"> Graphics. Zamawiający zamierza zakupić 16 licencji na w/w oprogramowania, bądź oprogramowanie równoważne, zapewniające ten sam zakres funkcji i możliwość kształcenia studentów z w/w przedmiotu.</w:t>
      </w:r>
    </w:p>
    <w:p w:rsidR="00F2711B" w:rsidRDefault="00F2711B" w:rsidP="00931CE4">
      <w:pPr>
        <w:spacing w:after="0" w:line="240" w:lineRule="auto"/>
        <w:jc w:val="both"/>
      </w:pPr>
      <w:r>
        <w:t xml:space="preserve">W przypadku zaproponowania oprogramowania równoważnego do </w:t>
      </w:r>
      <w:proofErr w:type="spellStart"/>
      <w:r>
        <w:t>CorelDRAW</w:t>
      </w:r>
      <w:proofErr w:type="spellEnd"/>
      <w:r>
        <w:t xml:space="preserve"> Graphics Suite X7, wymagane jest przeszkolenie</w:t>
      </w:r>
      <w:r w:rsidR="004D66FA">
        <w:t>, na koszt Wykonawcy,</w:t>
      </w:r>
      <w:r>
        <w:t xml:space="preserve"> 5 osób wskazanych przez Zamawiającego na poziomie odpowiadającym zakresowi kursu podstawowego oraz zaawansowanego (min. 60 godzin wykładowych), w terminie do 30 dni od podpisania umowy sprzedaży licencji.</w:t>
      </w:r>
    </w:p>
    <w:p w:rsidR="00F2711B" w:rsidRDefault="00F2711B" w:rsidP="00931CE4">
      <w:pPr>
        <w:spacing w:after="0" w:line="240" w:lineRule="auto"/>
        <w:jc w:val="both"/>
      </w:pPr>
    </w:p>
    <w:p w:rsidR="00F2711B" w:rsidRPr="00931CE4" w:rsidRDefault="004E0447" w:rsidP="00931CE4">
      <w:pPr>
        <w:pStyle w:val="Nagwek2"/>
        <w:spacing w:before="0" w:line="240" w:lineRule="auto"/>
        <w:jc w:val="both"/>
        <w:rPr>
          <w:b/>
          <w:u w:val="single"/>
        </w:rPr>
      </w:pPr>
      <w:r w:rsidRPr="00931CE4">
        <w:rPr>
          <w:b/>
          <w:u w:val="single"/>
        </w:rPr>
        <w:t>Zadanie 2</w:t>
      </w:r>
      <w:r w:rsidRPr="00931CE4">
        <w:rPr>
          <w:b/>
          <w:u w:val="single"/>
        </w:rPr>
        <w:t xml:space="preserve"> </w:t>
      </w:r>
      <w:r w:rsidRPr="00931CE4">
        <w:rPr>
          <w:b/>
          <w:u w:val="single"/>
        </w:rPr>
        <w:t xml:space="preserve">- </w:t>
      </w:r>
      <w:r w:rsidR="00BC4D26" w:rsidRPr="00931CE4">
        <w:rPr>
          <w:b/>
          <w:u w:val="single"/>
        </w:rPr>
        <w:t xml:space="preserve">Narzędzie CASE do modelowania systemów informatycznych za pomocą </w:t>
      </w:r>
      <w:proofErr w:type="spellStart"/>
      <w:r w:rsidR="00BC4D26" w:rsidRPr="00931CE4">
        <w:rPr>
          <w:b/>
          <w:u w:val="single"/>
        </w:rPr>
        <w:t>UMLa</w:t>
      </w:r>
      <w:proofErr w:type="spellEnd"/>
      <w:r w:rsidR="00BC4D26" w:rsidRPr="00931CE4">
        <w:rPr>
          <w:b/>
          <w:u w:val="single"/>
        </w:rPr>
        <w:t xml:space="preserve"> - 30 licencji akademickich</w:t>
      </w:r>
    </w:p>
    <w:p w:rsidR="00BC4D26" w:rsidRDefault="00BC4D26" w:rsidP="00931CE4">
      <w:pPr>
        <w:spacing w:after="0" w:line="240" w:lineRule="auto"/>
        <w:jc w:val="both"/>
      </w:pPr>
    </w:p>
    <w:p w:rsidR="00BC4D26" w:rsidRDefault="00BC4D26" w:rsidP="00931CE4">
      <w:pPr>
        <w:spacing w:after="0" w:line="240" w:lineRule="auto"/>
        <w:jc w:val="both"/>
      </w:pPr>
      <w:r>
        <w:t xml:space="preserve">Wieczysta licencja akademicka (typu </w:t>
      </w:r>
      <w:proofErr w:type="spellStart"/>
      <w:r>
        <w:t>Academic</w:t>
      </w:r>
      <w:proofErr w:type="spellEnd"/>
      <w:r>
        <w:t xml:space="preserve"> Site License). </w:t>
      </w:r>
    </w:p>
    <w:p w:rsidR="00BC4D26" w:rsidRDefault="00BC4D26" w:rsidP="00931CE4">
      <w:pPr>
        <w:spacing w:after="0" w:line="240" w:lineRule="auto"/>
        <w:jc w:val="both"/>
      </w:pPr>
      <w:r>
        <w:t xml:space="preserve">Oprogramowanie ma być profesjonalnym narzędziem do symulacji interfejsu użytkownika, analizy wpływu, poprawy dokumentacji modelu, udoskonalone zarządzanie projektami i wiele innych. Nowe </w:t>
      </w:r>
      <w:r>
        <w:lastRenderedPageBreak/>
        <w:t xml:space="preserve">narzędzia i technologie m.in. </w:t>
      </w:r>
      <w:proofErr w:type="spellStart"/>
      <w:r>
        <w:t>SysML</w:t>
      </w:r>
      <w:proofErr w:type="spellEnd"/>
      <w:r>
        <w:t xml:space="preserve"> 1.3, GML, dokumentów fragmenty i pomocników do rozszerzenia profilu UML.</w:t>
      </w:r>
    </w:p>
    <w:p w:rsidR="00BC4D26" w:rsidRDefault="00BC4D26" w:rsidP="00931CE4">
      <w:pPr>
        <w:spacing w:after="0" w:line="240" w:lineRule="auto"/>
        <w:jc w:val="both"/>
      </w:pPr>
      <w:r>
        <w:t>Oprogramowanie musi wspierać standardy:</w:t>
      </w:r>
    </w:p>
    <w:p w:rsidR="00BC4D26" w:rsidRDefault="00BC4D26" w:rsidP="00931CE4">
      <w:pPr>
        <w:spacing w:after="0" w:line="240" w:lineRule="auto"/>
        <w:jc w:val="both"/>
      </w:pPr>
      <w:r>
        <w:t>- UML co najmniej w wersji 2.4.1</w:t>
      </w:r>
    </w:p>
    <w:p w:rsidR="00BC4D26" w:rsidRDefault="00BC4D26" w:rsidP="00931CE4">
      <w:pPr>
        <w:spacing w:after="0" w:line="240" w:lineRule="auto"/>
        <w:jc w:val="both"/>
      </w:pPr>
      <w:r>
        <w:t xml:space="preserve">- </w:t>
      </w:r>
      <w:proofErr w:type="spellStart"/>
      <w:r>
        <w:t>SysML</w:t>
      </w:r>
      <w:proofErr w:type="spellEnd"/>
      <w:r>
        <w:t xml:space="preserve"> co najmniej w wersji 1.3</w:t>
      </w:r>
    </w:p>
    <w:p w:rsidR="00BC4D26" w:rsidRDefault="00BC4D26" w:rsidP="00931CE4">
      <w:pPr>
        <w:spacing w:after="0" w:line="240" w:lineRule="auto"/>
        <w:jc w:val="both"/>
      </w:pPr>
      <w:r>
        <w:t>- BPMN</w:t>
      </w:r>
    </w:p>
    <w:p w:rsidR="00BC4D26" w:rsidRDefault="00BC4D26" w:rsidP="00931CE4">
      <w:pPr>
        <w:spacing w:after="0" w:line="240" w:lineRule="auto"/>
        <w:jc w:val="both"/>
      </w:pPr>
      <w:r>
        <w:t>- BPEL</w:t>
      </w:r>
    </w:p>
    <w:p w:rsidR="00BC4D26" w:rsidRDefault="00BC4D26" w:rsidP="00931CE4">
      <w:pPr>
        <w:spacing w:after="0" w:line="240" w:lineRule="auto"/>
        <w:jc w:val="both"/>
      </w:pPr>
      <w:r>
        <w:t>- GML</w:t>
      </w:r>
    </w:p>
    <w:p w:rsidR="00BC4D26" w:rsidRDefault="00BC4D26" w:rsidP="00931CE4">
      <w:pPr>
        <w:spacing w:after="0" w:line="240" w:lineRule="auto"/>
        <w:jc w:val="both"/>
      </w:pPr>
      <w:r>
        <w:t xml:space="preserve">- </w:t>
      </w:r>
      <w:proofErr w:type="spellStart"/>
      <w:r>
        <w:t>SoaML</w:t>
      </w:r>
      <w:proofErr w:type="spellEnd"/>
    </w:p>
    <w:p w:rsidR="00BC4D26" w:rsidRDefault="00BC4D26" w:rsidP="00931CE4">
      <w:pPr>
        <w:spacing w:after="0" w:line="240" w:lineRule="auto"/>
        <w:jc w:val="both"/>
      </w:pPr>
      <w:r>
        <w:t>Oprogramowanie musi wspierać tworzenie diagramów UML bezpośrednio przez użytkownika oraz na podstawie kodu źródłowego.</w:t>
      </w:r>
    </w:p>
    <w:p w:rsidR="00BC4D26" w:rsidRDefault="00BC4D26" w:rsidP="00931CE4">
      <w:pPr>
        <w:spacing w:after="0" w:line="240" w:lineRule="auto"/>
        <w:jc w:val="both"/>
      </w:pPr>
      <w:r>
        <w:t xml:space="preserve">Oprogramowanie musi umożliwiać generowanie kodu na podstawie opracowanych diagramów UML  dla języków programowania: C, C#, C++, Java, PHP, </w:t>
      </w:r>
      <w:proofErr w:type="spellStart"/>
      <w:r>
        <w:t>Python</w:t>
      </w:r>
      <w:proofErr w:type="spellEnd"/>
      <w:r>
        <w:t>.</w:t>
      </w:r>
    </w:p>
    <w:p w:rsidR="00BC4D26" w:rsidRDefault="00BC4D26" w:rsidP="00931CE4">
      <w:pPr>
        <w:spacing w:after="0" w:line="240" w:lineRule="auto"/>
        <w:jc w:val="both"/>
      </w:pPr>
    </w:p>
    <w:p w:rsidR="00BC4D26" w:rsidRDefault="00BC4D26" w:rsidP="00931CE4">
      <w:pPr>
        <w:spacing w:after="0" w:line="240" w:lineRule="auto"/>
        <w:jc w:val="both"/>
      </w:pPr>
      <w:r>
        <w:t>Ze względu na specyfikę zamówienia i niemożność opisania przedmiotu zamówienia za pomocą dostatecznie dokładnych parametrów i funkcjonalności, Zamawiający używa nazw własnych i znaków towarowych z zastrzeżeniem, że dopuszcza składanie ofert równoważnych. Specyfika zamówienia polega na wyposażeniu sali wykładowej w specjalistyczne i unikalne oprogramowanie do prowadzenia zajęć dydaktycznych z przedmiotu „Inżynieria oprogramowania”, „Narzędzia CASE”, „Modelowanie i analiza systemów informatycznych” przez przeszkolonych i certyfikowanych nauczycieli akademickich w oparciu o oprogramowanie Enterprise Architect 10 w wersji edukacyjnej, Zamawiający zamierza zakupić 30 licencji na w/w oprogramowania, bądź oprogramowanie równoważne, zapewniające ten sam zakres funkcji i możliwość kształcenia studentów z w/w przedmiotu.</w:t>
      </w:r>
    </w:p>
    <w:p w:rsidR="00BC4D26" w:rsidRDefault="00BC4D26" w:rsidP="00931CE4">
      <w:pPr>
        <w:spacing w:after="0" w:line="240" w:lineRule="auto"/>
        <w:jc w:val="both"/>
      </w:pPr>
      <w:r>
        <w:t>W przypadku zaproponowania oprogramowania równoważnego do Enterprise Architect 10, wymagane jest przeszkolenie</w:t>
      </w:r>
      <w:r w:rsidR="004D66FA">
        <w:t>, na koszt Wykonawcy,</w:t>
      </w:r>
      <w:r>
        <w:t xml:space="preserve"> 3 osób wskazanych przez Zamawiającego na poziomie odpowiadającym podstawowej obsłudze oprogramowania w zakresie projektowania systemów informatycznych z zastosowaniem UML oraz metodą generowania kodu źródłowego na bazie opracowanych diagramów, w terminie do 30 dni od podpisania umowy sprzedaży licencji.</w:t>
      </w:r>
    </w:p>
    <w:p w:rsidR="00BC4D26" w:rsidRDefault="00BC4D26" w:rsidP="00931CE4">
      <w:pPr>
        <w:spacing w:after="0" w:line="240" w:lineRule="auto"/>
        <w:jc w:val="both"/>
      </w:pPr>
    </w:p>
    <w:p w:rsidR="00BC4D26" w:rsidRPr="00931CE4" w:rsidRDefault="00E33613" w:rsidP="00931CE4">
      <w:pPr>
        <w:pStyle w:val="Nagwek2"/>
        <w:spacing w:before="0" w:line="240" w:lineRule="auto"/>
        <w:jc w:val="both"/>
        <w:rPr>
          <w:b/>
          <w:u w:val="single"/>
        </w:rPr>
      </w:pPr>
      <w:r w:rsidRPr="00931CE4">
        <w:rPr>
          <w:b/>
          <w:u w:val="single"/>
        </w:rPr>
        <w:t xml:space="preserve">Zadanie </w:t>
      </w:r>
      <w:r w:rsidR="004E0447" w:rsidRPr="00931CE4">
        <w:rPr>
          <w:b/>
          <w:u w:val="single"/>
        </w:rPr>
        <w:t>3</w:t>
      </w:r>
      <w:r w:rsidRPr="00931CE4">
        <w:rPr>
          <w:b/>
          <w:u w:val="single"/>
        </w:rPr>
        <w:t xml:space="preserve"> - </w:t>
      </w:r>
      <w:r w:rsidR="00BC4D26" w:rsidRPr="00931CE4">
        <w:rPr>
          <w:b/>
          <w:u w:val="single"/>
        </w:rPr>
        <w:t xml:space="preserve">Narzędzia do programowania wieloplatformowego (Windows, Mac os, Android) - </w:t>
      </w:r>
      <w:r w:rsidR="00C77DC5" w:rsidRPr="00931CE4">
        <w:rPr>
          <w:b/>
          <w:u w:val="single"/>
        </w:rPr>
        <w:t>16 licencji akademickich wraz z nośnikiem</w:t>
      </w:r>
    </w:p>
    <w:p w:rsidR="00BC4D26" w:rsidRDefault="00BC4D26" w:rsidP="00931CE4">
      <w:pPr>
        <w:spacing w:after="0" w:line="240" w:lineRule="auto"/>
        <w:jc w:val="both"/>
      </w:pPr>
    </w:p>
    <w:p w:rsidR="004D66FA" w:rsidRDefault="004D66FA" w:rsidP="00931CE4">
      <w:pPr>
        <w:spacing w:after="0" w:line="240" w:lineRule="auto"/>
        <w:jc w:val="both"/>
      </w:pPr>
      <w:r>
        <w:t>Wiecz</w:t>
      </w:r>
      <w:r w:rsidR="00C77DC5">
        <w:t xml:space="preserve">ysta Licencja typu </w:t>
      </w:r>
      <w:proofErr w:type="spellStart"/>
      <w:r w:rsidR="00C77DC5">
        <w:t>Concurrent</w:t>
      </w:r>
      <w:proofErr w:type="spellEnd"/>
      <w:r w:rsidR="00C77DC5">
        <w:t>. Tzn. m</w:t>
      </w:r>
      <w:r>
        <w:t>ożliwa jednoczesna praca 16 użytkowników.</w:t>
      </w:r>
    </w:p>
    <w:p w:rsidR="004D66FA" w:rsidRDefault="004D66FA" w:rsidP="00931CE4">
      <w:pPr>
        <w:spacing w:after="0" w:line="240" w:lineRule="auto"/>
        <w:jc w:val="both"/>
      </w:pPr>
      <w:r>
        <w:t xml:space="preserve">Oprogramowanie to jest kompletnym rozwiązaniem do tworzenia oprogramowania do szybkiego budowania aplikacji dla Windows, OS X, </w:t>
      </w:r>
      <w:proofErr w:type="spellStart"/>
      <w:r>
        <w:t>iOS</w:t>
      </w:r>
      <w:proofErr w:type="spellEnd"/>
      <w:r>
        <w:t xml:space="preserve"> i Android opartym na jednym kodzie. Modernizacji istniejących aplikacji Windows i tworzenia aplikacji dla urządzeń przenośnych.</w:t>
      </w:r>
    </w:p>
    <w:p w:rsidR="004D66FA" w:rsidRDefault="004D66FA" w:rsidP="00931CE4">
      <w:pPr>
        <w:spacing w:after="0" w:line="240" w:lineRule="auto"/>
        <w:jc w:val="both"/>
      </w:pPr>
      <w:r>
        <w:t>Ze względu na specyfikę prowadzonych zajęć dydaktycznych („Programowanie wieloplatformowe”, „Programowanie urządzeń mobilnych”, „Programowanie aplikacji internetowych”, „Programowanie aplikacji dla Windows”) wymagana jest dostawa tego konkretnego narzędzia.</w:t>
      </w:r>
    </w:p>
    <w:p w:rsidR="004D66FA" w:rsidRDefault="004D66FA" w:rsidP="00931CE4">
      <w:pPr>
        <w:spacing w:after="0" w:line="240" w:lineRule="auto"/>
        <w:jc w:val="both"/>
      </w:pPr>
      <w:r>
        <w:t>Tworzenie natywnych aplikacji dla systemów Windows, OS X opartym na jednym kodzie bazowym.</w:t>
      </w:r>
    </w:p>
    <w:p w:rsidR="004D66FA" w:rsidRDefault="004D66FA" w:rsidP="00931CE4">
      <w:pPr>
        <w:spacing w:after="0" w:line="240" w:lineRule="auto"/>
        <w:jc w:val="both"/>
      </w:pPr>
      <w:r>
        <w:t>Aktualizacja istniejących aplikacji VCL do systemu Windows 64-bit.</w:t>
      </w:r>
    </w:p>
    <w:p w:rsidR="004D66FA" w:rsidRDefault="004D66FA" w:rsidP="00931CE4">
      <w:pPr>
        <w:spacing w:after="0" w:line="240" w:lineRule="auto"/>
        <w:jc w:val="both"/>
      </w:pPr>
      <w:r>
        <w:t>Rozbudowanie istniejących aplikacji z systemu Windows VCL bibliotekami programowania równoległego.</w:t>
      </w:r>
    </w:p>
    <w:p w:rsidR="004D66FA" w:rsidRDefault="004D66FA" w:rsidP="00931CE4">
      <w:pPr>
        <w:spacing w:after="0" w:line="240" w:lineRule="auto"/>
        <w:jc w:val="both"/>
      </w:pPr>
      <w:r>
        <w:t>Integracja aplikacji systemu Windows VCL z wykorzystaniem wyrażeń relacyjnych.</w:t>
      </w:r>
    </w:p>
    <w:p w:rsidR="004D66FA" w:rsidRDefault="004D66FA" w:rsidP="00931CE4">
      <w:pPr>
        <w:spacing w:after="0" w:line="240" w:lineRule="auto"/>
        <w:jc w:val="both"/>
      </w:pPr>
      <w:r>
        <w:t>Umożliwia podłączenie własnych aplikacji systemu Windows VCL do baz danych przedsiębiorstwa.</w:t>
      </w:r>
    </w:p>
    <w:p w:rsidR="004D66FA" w:rsidRDefault="004D66FA" w:rsidP="00931CE4">
      <w:pPr>
        <w:spacing w:after="0" w:line="240" w:lineRule="auto"/>
        <w:jc w:val="both"/>
      </w:pPr>
      <w:r>
        <w:t>Przebudowa aplikacji systemu Windows VCL z nowych komponentów VCL i stylów.</w:t>
      </w:r>
    </w:p>
    <w:p w:rsidR="004D66FA" w:rsidRDefault="004D66FA" w:rsidP="00931CE4">
      <w:pPr>
        <w:spacing w:after="0" w:line="240" w:lineRule="auto"/>
        <w:jc w:val="both"/>
      </w:pPr>
      <w:r>
        <w:t>Rozszerzanie aplikacje systemu Windows o funkcje dla aplikacji dla urządzeń mobilnych i noszonych.</w:t>
      </w:r>
    </w:p>
    <w:p w:rsidR="004D66FA" w:rsidRDefault="004D66FA" w:rsidP="00931CE4">
      <w:pPr>
        <w:spacing w:after="0" w:line="240" w:lineRule="auto"/>
        <w:jc w:val="both"/>
      </w:pPr>
      <w:r>
        <w:lastRenderedPageBreak/>
        <w:t xml:space="preserve">Oprogramowanie musi wspierać wytwarzanie aplikacji dla systemów Windows, OS X oraz urządzeń mobilnych na podstawie wspólnego kodu bazowego. </w:t>
      </w:r>
    </w:p>
    <w:p w:rsidR="004D66FA" w:rsidRDefault="004D66FA" w:rsidP="00931CE4">
      <w:pPr>
        <w:spacing w:after="0" w:line="240" w:lineRule="auto"/>
        <w:jc w:val="both"/>
      </w:pPr>
      <w:r>
        <w:t>Zawartość pakietu oprogramowania (RAD Studio XE 7 Professional):</w:t>
      </w:r>
    </w:p>
    <w:p w:rsidR="004D66FA" w:rsidRDefault="004D66FA" w:rsidP="00931CE4">
      <w:pPr>
        <w:spacing w:after="0" w:line="240" w:lineRule="auto"/>
        <w:jc w:val="both"/>
      </w:pPr>
      <w:r>
        <w:t>•</w:t>
      </w:r>
      <w:r>
        <w:tab/>
        <w:t>Delphi XE7</w:t>
      </w:r>
    </w:p>
    <w:p w:rsidR="004D66FA" w:rsidRDefault="004D66FA" w:rsidP="00931CE4">
      <w:pPr>
        <w:spacing w:after="0" w:line="240" w:lineRule="auto"/>
        <w:jc w:val="both"/>
      </w:pPr>
      <w:r>
        <w:t>•</w:t>
      </w:r>
      <w:r>
        <w:tab/>
        <w:t>C++ Builder XE7</w:t>
      </w:r>
    </w:p>
    <w:p w:rsidR="004D66FA" w:rsidRDefault="004D66FA" w:rsidP="00931CE4">
      <w:pPr>
        <w:spacing w:after="0" w:line="240" w:lineRule="auto"/>
        <w:jc w:val="both"/>
      </w:pPr>
      <w:r>
        <w:t>•</w:t>
      </w:r>
      <w:r>
        <w:tab/>
        <w:t>HTML5 Builder</w:t>
      </w:r>
    </w:p>
    <w:p w:rsidR="004D66FA" w:rsidRDefault="004D66FA" w:rsidP="00931CE4">
      <w:pPr>
        <w:spacing w:after="0" w:line="240" w:lineRule="auto"/>
        <w:jc w:val="both"/>
      </w:pPr>
      <w:r>
        <w:t>•</w:t>
      </w:r>
      <w:r>
        <w:tab/>
      </w:r>
      <w:proofErr w:type="spellStart"/>
      <w:r>
        <w:t>InterBase</w:t>
      </w:r>
      <w:proofErr w:type="spellEnd"/>
    </w:p>
    <w:p w:rsidR="004D66FA" w:rsidRDefault="004D66FA" w:rsidP="00931CE4">
      <w:pPr>
        <w:spacing w:after="0" w:line="240" w:lineRule="auto"/>
        <w:jc w:val="both"/>
      </w:pPr>
      <w:r>
        <w:t>Ze względu na specyfikę zamówienia i niemożność opisania przedmiotu zamówienia za pomocą dostatecznie dokładnych parametrów i funkcjonalności, Zamawiający używa nazw własnych i znaków towarowych z zastrzeżeniem, że dopuszcza składanie ofert równoważnych. Specyfika zamówienia polega na wyposażeniu sali wykładowej w specjalistyczne i unikalne oprogramowanie do prowadzenia zajęć dydaktycznych z „Programowanie aplikacji dla Windows”, „Programowanie wieloplatformowe”, „Programowanie urządzeń mobilnych”, „Programowanie aplikacji internetowych” przez doświadczonych nauczycieli akademickich w oparciu o oprogramowanie RAD Studio XE7 Professional w wersji edukacyjnej, Zamawiający zamierza zakupić 16 licencji na w/w oprogramowania, bądź oprogramowanie równoważne, zapewniające ten sam zakres funkcji i możliwość kształcenia studentów z w/w przedmiotu.</w:t>
      </w:r>
    </w:p>
    <w:p w:rsidR="00BC4D26" w:rsidRDefault="004D66FA" w:rsidP="00931CE4">
      <w:pPr>
        <w:spacing w:after="0" w:line="240" w:lineRule="auto"/>
        <w:jc w:val="both"/>
      </w:pPr>
      <w:r>
        <w:t>W przypadku zaproponowania oprogramowania równoważnego do RAD Studio XE7 Professional, wymagane jest przeszkolenie, na koszt Wykonawcy, 5 osób wskazanych przez Zamawiającego na poziomie odpowiadającym  obsłudze oprogramowania w zakresie wytwarzania oprogramowania na bazie wspólnego kodu dla różnych platform systemowych, w terminie do 30 dni od podpisania umowy sprzedaży licencji.</w:t>
      </w:r>
    </w:p>
    <w:p w:rsidR="00C77DC5" w:rsidRDefault="00C77DC5" w:rsidP="00931CE4">
      <w:pPr>
        <w:spacing w:after="0" w:line="240" w:lineRule="auto"/>
        <w:jc w:val="both"/>
      </w:pPr>
    </w:p>
    <w:p w:rsidR="00C419A9" w:rsidRPr="00931CE4" w:rsidRDefault="00E33613" w:rsidP="00931CE4">
      <w:pPr>
        <w:pStyle w:val="Nagwek2"/>
        <w:spacing w:before="0" w:line="240" w:lineRule="auto"/>
        <w:jc w:val="both"/>
        <w:rPr>
          <w:b/>
          <w:u w:val="single"/>
        </w:rPr>
      </w:pPr>
      <w:r w:rsidRPr="00931CE4">
        <w:rPr>
          <w:b/>
          <w:u w:val="single"/>
        </w:rPr>
        <w:t xml:space="preserve">Zadanie </w:t>
      </w:r>
      <w:r w:rsidR="004E0447" w:rsidRPr="00931CE4">
        <w:rPr>
          <w:b/>
          <w:u w:val="single"/>
        </w:rPr>
        <w:t>4</w:t>
      </w:r>
      <w:r w:rsidRPr="00931CE4">
        <w:rPr>
          <w:b/>
          <w:u w:val="single"/>
        </w:rPr>
        <w:t xml:space="preserve"> - </w:t>
      </w:r>
      <w:r w:rsidR="00C419A9" w:rsidRPr="00931CE4">
        <w:rPr>
          <w:b/>
          <w:u w:val="single"/>
        </w:rPr>
        <w:t>Oprogramowanie do profesjonalnej obróbki i montażu audio i wideo oraz tworzenia efektów specjalnych i grafiki do materiałów wideo - 21 licencji akademickich.</w:t>
      </w:r>
    </w:p>
    <w:p w:rsidR="00C419A9" w:rsidRDefault="00C419A9" w:rsidP="00931CE4">
      <w:pPr>
        <w:spacing w:after="0" w:line="240" w:lineRule="auto"/>
        <w:jc w:val="both"/>
      </w:pPr>
    </w:p>
    <w:p w:rsidR="00C419A9" w:rsidRDefault="00C419A9" w:rsidP="00931CE4">
      <w:pPr>
        <w:spacing w:after="0" w:line="240" w:lineRule="auto"/>
        <w:jc w:val="both"/>
      </w:pPr>
      <w:r>
        <w:t xml:space="preserve">Wieczysta licencja akademicka, wersja „pudełkowa”. </w:t>
      </w:r>
    </w:p>
    <w:p w:rsidR="00C419A9" w:rsidRDefault="00C419A9" w:rsidP="00931CE4">
      <w:pPr>
        <w:spacing w:after="0" w:line="240" w:lineRule="auto"/>
        <w:jc w:val="both"/>
      </w:pPr>
      <w:r>
        <w:t>Pakiet oprogramowania do nieliniowej obróbki video o ogromnych możliwościach, które można poszerzyć poprzez zastosowanie całej gamy wtyczek (plug-</w:t>
      </w:r>
      <w:proofErr w:type="spellStart"/>
      <w:r>
        <w:t>ins</w:t>
      </w:r>
      <w:proofErr w:type="spellEnd"/>
      <w:r>
        <w:t>) i dodatków (</w:t>
      </w:r>
      <w:proofErr w:type="spellStart"/>
      <w:r>
        <w:t>add-on</w:t>
      </w:r>
      <w:proofErr w:type="spellEnd"/>
      <w:r>
        <w:t>). Program pozwala na wszelkie możliwe operacje na plikach video: wycinanie, skalowanie, łączenie (posiada pokaźną bibliotekę przejść między poszczególnymi klipami), konwertowanie, przyspieszanie, zwalnianie itp. Powyższe dotyczy również ścieżki dźwiękowej zawartej w klipach.</w:t>
      </w:r>
    </w:p>
    <w:p w:rsidR="00C419A9" w:rsidRDefault="00C419A9" w:rsidP="00931CE4">
      <w:pPr>
        <w:spacing w:after="0" w:line="240" w:lineRule="auto"/>
        <w:jc w:val="both"/>
      </w:pPr>
      <w:r>
        <w:t xml:space="preserve">Oprogramowanie musi wspierać obróbkę oraz montaż audio i video wraz z możliwością tworzenia efektów specjalnych. Oprogramowanie musi wspierać tworzenie płyt audio, DVD oraz </w:t>
      </w:r>
      <w:proofErr w:type="spellStart"/>
      <w:r>
        <w:t>BlueRay</w:t>
      </w:r>
      <w:proofErr w:type="spellEnd"/>
      <w:r>
        <w:t xml:space="preserve"> Disc.</w:t>
      </w:r>
    </w:p>
    <w:p w:rsidR="00C419A9" w:rsidRDefault="00C419A9" w:rsidP="00931CE4">
      <w:pPr>
        <w:spacing w:after="0" w:line="240" w:lineRule="auto"/>
        <w:jc w:val="both"/>
      </w:pPr>
      <w:r>
        <w:t>Głównym składnikiem pakietu jest profesjonalny program do cyfrowej edycji video i produkcji audio. Umożliwia zaawansowaną edycję formatów DV, AVCHD, HDV, SD/HD-SDI w tym wykrywanie i naprawę synchronizacji A/V możliwość wyciszania ścieżki audio na kasecie, przenoszenie i aranżację, edycję projektu źródłowego oraz automatyczną kwantyzację klatek.</w:t>
      </w:r>
    </w:p>
    <w:p w:rsidR="00C419A9" w:rsidRDefault="00C419A9" w:rsidP="00931CE4">
      <w:pPr>
        <w:spacing w:after="0" w:line="240" w:lineRule="auto"/>
        <w:jc w:val="both"/>
      </w:pPr>
      <w:r>
        <w:t xml:space="preserve">Program oferuje między innymi obsługę standardu NVIDIA 3D </w:t>
      </w:r>
      <w:proofErr w:type="spellStart"/>
      <w:r>
        <w:t>Vision</w:t>
      </w:r>
      <w:proofErr w:type="spellEnd"/>
      <w:r>
        <w:t xml:space="preserve"> dla monitorów komputerowych 3D, narzędzie stabilizacji obrazu, funkcję tworzenia animowanych tytułów, narzędzie do synchronizacji zdarzeń na osi czasu podczas edycji czy narzędzie filtrowania szablonów </w:t>
      </w:r>
      <w:proofErr w:type="spellStart"/>
      <w:r>
        <w:t>renderowania</w:t>
      </w:r>
      <w:proofErr w:type="spellEnd"/>
      <w:r>
        <w:t>, których zadaniem jest ułatwienie wyszukiwania i filtrowania materiałów.</w:t>
      </w:r>
    </w:p>
    <w:p w:rsidR="00C419A9" w:rsidRDefault="00C419A9" w:rsidP="00931CE4">
      <w:pPr>
        <w:spacing w:after="0" w:line="240" w:lineRule="auto"/>
        <w:jc w:val="both"/>
      </w:pPr>
      <w:r>
        <w:t xml:space="preserve">Ze względu na specyfikę zamówienia i niemożność opisania przedmiotu zamówienia za pomocą dostatecznie dokładnych parametrów i funkcjonalności, Zamawiający używa nazw własnych i znaków towarowych z zastrzeżeniem, że dopuszcza składanie ofert równoważnych. Specyfika zamówienia polega na wyposażeniu sali wykładowej w specjalistyczne i unikalne oprogramowanie do prowadzenia zajęć dydaktycznych z przedmiotów: „Analiza i przetwarzanie obrazów cyfrowych”, „Przetwarzanie obrazów statycznych i dynamicznych”, „Techniki i systemy multimedialne” </w:t>
      </w:r>
      <w:r>
        <w:lastRenderedPageBreak/>
        <w:t>doświadczonych nauczycieli akademickich w oparciu o oprogramowanie Sony Vegas Pro 130 w wersji edukacyjnej, Zamawiający zamierza zakupić 21 licencji na w/w oprogramowania, bądź oprogramowanie równoważne, zapewniające ten sam zakres funkcji i możliwość kształcenia studentów z w/w przedmiotu.</w:t>
      </w:r>
    </w:p>
    <w:p w:rsidR="00C419A9" w:rsidRDefault="00C419A9" w:rsidP="00931CE4">
      <w:pPr>
        <w:spacing w:after="0" w:line="240" w:lineRule="auto"/>
        <w:jc w:val="both"/>
      </w:pPr>
      <w:r>
        <w:t>W przypadku zaproponowania oprogramowania równoważnego do Sony Vegas Pro 13, wymagane jest przeszkolenie, na koszt Wykonawcy, 5 osób wskazanych przez Zamawiającego na poziomie odpowiadającym obsłudze oprogramowania w zakresie obróbki audio oraz video, a także tworzenia efektów specjalnych, w terminie do 30 dni od podpisania umowy sprzedaży licencji.</w:t>
      </w:r>
    </w:p>
    <w:p w:rsidR="00EF361D" w:rsidRDefault="00EF361D" w:rsidP="00931CE4">
      <w:pPr>
        <w:spacing w:after="0" w:line="240" w:lineRule="auto"/>
        <w:jc w:val="both"/>
      </w:pPr>
    </w:p>
    <w:p w:rsidR="005B21FE" w:rsidRPr="00931CE4" w:rsidRDefault="004E0447" w:rsidP="00931CE4">
      <w:pPr>
        <w:pStyle w:val="Nagwek2"/>
        <w:spacing w:before="0" w:line="240" w:lineRule="auto"/>
        <w:jc w:val="both"/>
        <w:rPr>
          <w:b/>
          <w:u w:val="single"/>
        </w:rPr>
      </w:pPr>
      <w:r w:rsidRPr="00931CE4">
        <w:rPr>
          <w:b/>
          <w:u w:val="single"/>
        </w:rPr>
        <w:t>Zadanie 5</w:t>
      </w:r>
      <w:r w:rsidR="00E33613" w:rsidRPr="00931CE4">
        <w:rPr>
          <w:b/>
          <w:u w:val="single"/>
        </w:rPr>
        <w:t xml:space="preserve"> - </w:t>
      </w:r>
      <w:r w:rsidR="005B21FE" w:rsidRPr="00931CE4">
        <w:rPr>
          <w:b/>
          <w:u w:val="single"/>
        </w:rPr>
        <w:t xml:space="preserve">Pakiet oprogramowania zawierający narzędzia w zakresie projektowania bryłowego, powierzchniowego, pełnej parametryzacji modeli, prowadzenia symulacji, prowadzenia analiz, generowanie dokumentacji od podstaw oraz na bazie modelu 3D </w:t>
      </w:r>
      <w:r w:rsidR="002373FB" w:rsidRPr="00931CE4">
        <w:rPr>
          <w:b/>
          <w:u w:val="single"/>
        </w:rPr>
        <w:t>–</w:t>
      </w:r>
      <w:r w:rsidR="005B21FE" w:rsidRPr="00931CE4">
        <w:rPr>
          <w:b/>
          <w:u w:val="single"/>
        </w:rPr>
        <w:t xml:space="preserve"> </w:t>
      </w:r>
      <w:r w:rsidR="002373FB" w:rsidRPr="00931CE4">
        <w:rPr>
          <w:b/>
          <w:u w:val="single"/>
        </w:rPr>
        <w:t>20 licencji.</w:t>
      </w:r>
    </w:p>
    <w:p w:rsidR="005B21FE" w:rsidRDefault="005B21FE" w:rsidP="00931CE4">
      <w:pPr>
        <w:spacing w:after="0" w:line="240" w:lineRule="auto"/>
        <w:jc w:val="both"/>
        <w:rPr>
          <w:rFonts w:ascii="Calibri" w:eastAsia="Times New Roman" w:hAnsi="Calibri" w:cs="Times New Roman"/>
          <w:color w:val="000000"/>
          <w:lang w:eastAsia="pl-PL"/>
        </w:rPr>
      </w:pPr>
    </w:p>
    <w:p w:rsidR="005B21FE" w:rsidRDefault="005B21FE" w:rsidP="00931CE4">
      <w:pPr>
        <w:spacing w:after="0" w:line="240" w:lineRule="auto"/>
        <w:jc w:val="both"/>
        <w:rPr>
          <w:rFonts w:ascii="Calibri" w:eastAsia="Times New Roman" w:hAnsi="Calibri" w:cs="Times New Roman"/>
          <w:color w:val="000000"/>
          <w:lang w:eastAsia="pl-PL"/>
        </w:rPr>
      </w:pPr>
      <w:r w:rsidRPr="005B21FE">
        <w:rPr>
          <w:rFonts w:ascii="Calibri" w:eastAsia="Times New Roman" w:hAnsi="Calibri" w:cs="Times New Roman"/>
          <w:color w:val="000000"/>
          <w:lang w:eastAsia="pl-PL"/>
        </w:rPr>
        <w:t>Pakiet oprogramowania zawierający narzędzia w za</w:t>
      </w:r>
      <w:r>
        <w:rPr>
          <w:rFonts w:ascii="Calibri" w:eastAsia="Times New Roman" w:hAnsi="Calibri" w:cs="Times New Roman"/>
          <w:color w:val="000000"/>
          <w:lang w:eastAsia="pl-PL"/>
        </w:rPr>
        <w:t>kresie projektowania bryłowego, p</w:t>
      </w:r>
      <w:r w:rsidRPr="005B21FE">
        <w:rPr>
          <w:rFonts w:ascii="Calibri" w:eastAsia="Times New Roman" w:hAnsi="Calibri" w:cs="Times New Roman"/>
          <w:color w:val="000000"/>
          <w:lang w:eastAsia="pl-PL"/>
        </w:rPr>
        <w:t xml:space="preserve">owierzchniowego, pełnej parametryzacji modeli, prowadzenia symulacji, prowadzenia analiz (m.in. Wytrzymałościowej i częstotliwościowej), generowanie dokumentacji od podstaw </w:t>
      </w:r>
      <w:r>
        <w:rPr>
          <w:rFonts w:ascii="Calibri" w:eastAsia="Times New Roman" w:hAnsi="Calibri" w:cs="Times New Roman"/>
          <w:color w:val="000000"/>
          <w:lang w:eastAsia="pl-PL"/>
        </w:rPr>
        <w:t>oraz</w:t>
      </w:r>
      <w:r w:rsidRPr="005B21FE">
        <w:rPr>
          <w:rFonts w:ascii="Calibri" w:eastAsia="Times New Roman" w:hAnsi="Calibri" w:cs="Times New Roman"/>
          <w:color w:val="000000"/>
          <w:lang w:eastAsia="pl-PL"/>
        </w:rPr>
        <w:t xml:space="preserve"> na bazie modelu 3D. System musi umożliwiać tworzenie katalogów elementów znormalizowanych oraz katalogów zawierających zestaw bibliotek materiałowych; współpracę grupową i współdzielenia danych; współpracę dwóch osób nad tym samym modelem </w:t>
      </w:r>
      <w:r>
        <w:rPr>
          <w:rFonts w:ascii="Calibri" w:eastAsia="Times New Roman" w:hAnsi="Calibri" w:cs="Times New Roman"/>
          <w:color w:val="000000"/>
          <w:lang w:eastAsia="pl-PL"/>
        </w:rPr>
        <w:t>oraz</w:t>
      </w:r>
      <w:r w:rsidRPr="005B21FE">
        <w:rPr>
          <w:rFonts w:ascii="Calibri" w:eastAsia="Times New Roman" w:hAnsi="Calibri" w:cs="Times New Roman"/>
          <w:color w:val="000000"/>
          <w:lang w:eastAsia="pl-PL"/>
        </w:rPr>
        <w:t xml:space="preserve"> złożeniem; dostęp do danych systemu z poziomu najbardziej popularnych aplikacji np.: Microsoft Office, Windows Explorer, Windows </w:t>
      </w:r>
      <w:proofErr w:type="spellStart"/>
      <w:r w:rsidRPr="005B21FE">
        <w:rPr>
          <w:rFonts w:ascii="Calibri" w:eastAsia="Times New Roman" w:hAnsi="Calibri" w:cs="Times New Roman"/>
          <w:color w:val="000000"/>
          <w:lang w:eastAsia="pl-PL"/>
        </w:rPr>
        <w:t>Deskop</w:t>
      </w:r>
      <w:proofErr w:type="spellEnd"/>
      <w:r w:rsidRPr="005B21FE">
        <w:rPr>
          <w:rFonts w:ascii="Calibri" w:eastAsia="Times New Roman" w:hAnsi="Calibri" w:cs="Times New Roman"/>
          <w:color w:val="000000"/>
          <w:lang w:eastAsia="pl-PL"/>
        </w:rPr>
        <w:t xml:space="preserve"> </w:t>
      </w:r>
      <w:proofErr w:type="spellStart"/>
      <w:r w:rsidRPr="005B21FE">
        <w:rPr>
          <w:rFonts w:ascii="Calibri" w:eastAsia="Times New Roman" w:hAnsi="Calibri" w:cs="Times New Roman"/>
          <w:color w:val="000000"/>
          <w:lang w:eastAsia="pl-PL"/>
        </w:rPr>
        <w:t>Search</w:t>
      </w:r>
      <w:proofErr w:type="spellEnd"/>
      <w:r w:rsidRPr="005B21FE">
        <w:rPr>
          <w:rFonts w:ascii="Calibri" w:eastAsia="Times New Roman" w:hAnsi="Calibri" w:cs="Times New Roman"/>
          <w:color w:val="000000"/>
          <w:lang w:eastAsia="pl-PL"/>
        </w:rPr>
        <w:t>; zapis i odczyt plików za rozszerzeniem IGES oraz STEP</w:t>
      </w:r>
      <w:r w:rsidR="004F0EF2">
        <w:rPr>
          <w:rFonts w:ascii="Calibri" w:eastAsia="Times New Roman" w:hAnsi="Calibri" w:cs="Times New Roman"/>
          <w:color w:val="000000"/>
          <w:lang w:eastAsia="pl-PL"/>
        </w:rPr>
        <w:t>.</w:t>
      </w:r>
    </w:p>
    <w:p w:rsidR="004F0EF2" w:rsidRPr="005B21FE" w:rsidRDefault="004F0EF2" w:rsidP="00931CE4">
      <w:pPr>
        <w:spacing w:after="0" w:line="240" w:lineRule="auto"/>
        <w:jc w:val="both"/>
        <w:rPr>
          <w:rFonts w:ascii="Calibri" w:eastAsia="Times New Roman" w:hAnsi="Calibri" w:cs="Times New Roman"/>
          <w:color w:val="000000"/>
          <w:lang w:eastAsia="pl-PL"/>
        </w:rPr>
      </w:pPr>
    </w:p>
    <w:p w:rsidR="004F0EF2" w:rsidRDefault="004F0EF2" w:rsidP="00931CE4">
      <w:pPr>
        <w:spacing w:after="0" w:line="240" w:lineRule="auto"/>
        <w:jc w:val="both"/>
      </w:pPr>
      <w:r>
        <w:t xml:space="preserve">Zakup licencji jest rozbudową </w:t>
      </w:r>
      <w:r w:rsidR="0022209E">
        <w:t>posiadanego przez Zamawiającego</w:t>
      </w:r>
      <w:r>
        <w:t xml:space="preserve"> systemu CATIA V5 </w:t>
      </w:r>
      <w:proofErr w:type="spellStart"/>
      <w:r>
        <w:t>iCATIA</w:t>
      </w:r>
      <w:proofErr w:type="spellEnd"/>
      <w:r>
        <w:t xml:space="preserve"> V6 o 10 nowych licencji programu CATIA V5 i 10 nowych licencji programu CATIA V6 wraz ze wsparciem technicznym (</w:t>
      </w:r>
      <w:proofErr w:type="spellStart"/>
      <w:r>
        <w:t>maintenance</w:t>
      </w:r>
      <w:proofErr w:type="spellEnd"/>
      <w:r>
        <w:t>) na wszystkie posiadane licencje CATIA minimum do 31 grudnia 2018 roku.</w:t>
      </w:r>
    </w:p>
    <w:p w:rsidR="004F0EF2" w:rsidRDefault="004F0EF2" w:rsidP="00931CE4">
      <w:pPr>
        <w:spacing w:after="0" w:line="240" w:lineRule="auto"/>
        <w:jc w:val="both"/>
      </w:pPr>
      <w:r>
        <w:t>Rozbudowa systemu CATIA jest konieczna ze względu na prowadzenie zajęć oraz przeprowadzone szkolenie pracowników z obsługi programu z wykorzystaniem tego pakietu. W przygotowywaniu programów nauczania na Wydziale Inżynierii Mechanicznej i Informatyki, uczestniczyli między innymi przedstawiciele przemysłu, gdzie ten pakiet inżynierski jest wykorzystywany.</w:t>
      </w:r>
    </w:p>
    <w:p w:rsidR="004F0EF2" w:rsidRDefault="004F0EF2" w:rsidP="00931CE4">
      <w:pPr>
        <w:spacing w:after="0" w:line="240" w:lineRule="auto"/>
        <w:jc w:val="both"/>
      </w:pPr>
      <w:r>
        <w:t>System CATIA jest rozwiązaniem zdolnym wspierać pełny proces rozwoju produktu - od założeń koncepcyjnych produktu do serwisowania produktu - w sposób w pełni zintegrowany i asocjatywny. Ułatwia to prawdziwie grupowe projektowanie inżynierskie w wielodyscyplinarnych oddziałach przedsiębiorstwa, włączając w to stylizację, projektowanie form, projektowanie mechaniczne i analizy inżynierskie systemów i osprzętu oraz zarządzanie cyfrowymi makietami, obróbką skrawaniem, analizami i symulacjami. CATIA dostarcza zaawansowanych narzędzi trójwymiarowego zarządzania życiem produktu do zespołowego rozwoju danego projektu. CATIA posiada wbudowaną możliwość do zdobywania i ponownego użycia wiedzy technicznej (know-how), która będzie kierować wprowadzaniem najlepszych praktyk projektowania zespołowego i pozwoli użytkownikowi końcowemu skupić się na kreatywności i innowacyjności wyrobu. CATIA znajduje zastosowanie zarówno w małych, jak i dużych przedsiębiorstwach, w wielu obszarach prowadzonej działalności. System odpowiada kompleksowym wymaganiom różnych branż, między innymi motoryzacyjnej, lotniczej, inżynieryjnej oraz konstrukcyjno-budowlanej.</w:t>
      </w:r>
    </w:p>
    <w:p w:rsidR="004F0EF2" w:rsidRDefault="004F0EF2" w:rsidP="00931CE4">
      <w:pPr>
        <w:spacing w:after="0" w:line="240" w:lineRule="auto"/>
        <w:jc w:val="both"/>
      </w:pPr>
      <w:r>
        <w:t>Podstawowe funkcje systemu CATIA:</w:t>
      </w:r>
    </w:p>
    <w:p w:rsidR="004F0EF2" w:rsidRDefault="004F0EF2" w:rsidP="00931CE4">
      <w:pPr>
        <w:spacing w:after="0" w:line="240" w:lineRule="auto"/>
        <w:jc w:val="both"/>
      </w:pPr>
      <w:r>
        <w:t>•</w:t>
      </w:r>
      <w:r>
        <w:tab/>
        <w:t xml:space="preserve">Projektowanie mechaniczne. Program umożliwia parametryczne modelowanie części, tworzenie złożeń oraz wykonywanie dokumentacji technicznej. Oprócz tradycyjnego modelowania </w:t>
      </w:r>
      <w:r>
        <w:lastRenderedPageBreak/>
        <w:t xml:space="preserve">bryłowego możliwe jest również modelowanie konstrukcji z blach, kompozytów dedykowanych dla różnych gałęzi przemysłu (np. lotnictwo , przemysł samochodowy itp.). Dla tworzonych złożeń lub części istnieje możliwość analizy funkcjonalnej produktu przed jego fizycznym zbudowaniem (symulacje kolizji, symulacji </w:t>
      </w:r>
      <w:proofErr w:type="spellStart"/>
      <w:r>
        <w:t>naprężeń</w:t>
      </w:r>
      <w:proofErr w:type="spellEnd"/>
      <w:r>
        <w:t xml:space="preserve"> itp.).</w:t>
      </w:r>
    </w:p>
    <w:p w:rsidR="004F0EF2" w:rsidRDefault="004F0EF2" w:rsidP="00931CE4">
      <w:pPr>
        <w:spacing w:after="0" w:line="240" w:lineRule="auto"/>
        <w:jc w:val="both"/>
      </w:pPr>
      <w:r>
        <w:t>•</w:t>
      </w:r>
      <w:r>
        <w:tab/>
        <w:t>Projektowanie i stylizacja kształtu. CATIA zawiera w sobie narzędzia do projektowania kształtu wyrobów. Skomplikowane kształty powierzchniowe, ich modyfikacje oraz optymalizacje, mogą być tworzone w CATII na bazie szerokiego wachlarza narzędzi programowych (np.: inżynierii odwrotnej).</w:t>
      </w:r>
    </w:p>
    <w:p w:rsidR="004F0EF2" w:rsidRDefault="004F0EF2" w:rsidP="00931CE4">
      <w:pPr>
        <w:spacing w:after="0" w:line="240" w:lineRule="auto"/>
        <w:jc w:val="both"/>
      </w:pPr>
      <w:r>
        <w:t>•</w:t>
      </w:r>
      <w:r>
        <w:tab/>
        <w:t>Synteza produktu. Program dostarcza narzędzi do łatwej automatyzacji i walidacji projektu a także procesu wytwarzania. Przez parametryzację produktu jest możliwa absorpcja wiedzy technicznej i jej ponowne użycie dla nowych projektów. Pozwala to na definicje wewnętrznych standardów oraz sprawdzanie i ocenę jakości projektowania.</w:t>
      </w:r>
    </w:p>
    <w:p w:rsidR="004F0EF2" w:rsidRDefault="004F0EF2" w:rsidP="00931CE4">
      <w:pPr>
        <w:spacing w:after="0" w:line="240" w:lineRule="auto"/>
        <w:jc w:val="both"/>
      </w:pPr>
      <w:r>
        <w:t>•</w:t>
      </w:r>
      <w:r>
        <w:tab/>
        <w:t>Projektowanie urządzeń i systemów. Projektowanie i integracja systemów elektrycznych, transportujących płyny oraz mechanicznych w trójwymiarowej makiecie wyrobu.</w:t>
      </w:r>
    </w:p>
    <w:p w:rsidR="004F0EF2" w:rsidRDefault="004F0EF2" w:rsidP="00931CE4">
      <w:pPr>
        <w:spacing w:after="0" w:line="240" w:lineRule="auto"/>
        <w:jc w:val="both"/>
      </w:pPr>
      <w:r>
        <w:t>•</w:t>
      </w:r>
      <w:r>
        <w:tab/>
        <w:t>Analiza konstrukcji. CATIA posiada możliwości szybkiego projektowania i analizy o charakterze iteracyjnym dla wszystkich typów części i złożeń. Program posiada niezbędne narzędzia zarówno dla analizy strukturalnej (analiza metodą elementów skończonych), jak i analizy tolerancji złożeń i ich deformacji. Optymalizacja produktu bazująca na parametryzacji konstrukcji, jest bardzo prosta i dostępna zarówno dla projektantów, jak i specjalistów.</w:t>
      </w:r>
    </w:p>
    <w:p w:rsidR="004F0EF2" w:rsidRDefault="004F0EF2" w:rsidP="00931CE4">
      <w:pPr>
        <w:spacing w:after="0" w:line="240" w:lineRule="auto"/>
        <w:jc w:val="both"/>
      </w:pPr>
      <w:r>
        <w:t xml:space="preserve">Ze względu na specyfikę zamówienia i niemożność opisania przedmiotu zamówienia za pomocą dostatecznie dokładnych parametrów i funkcjonalności, Zamawiający używa nazw własnych i znaków towarowych z zastrzeżeniem, że dopuszcza składanie ofert równoważnych. Specyfika zamówienia polega na wyposażeniu sali wykładowej w specjalistyczne i unikalne oprogramowanie do prowadzenia zajęć dydaktycznych z: Modelowania geometrycznego i strukturalnego, Projektu inżynierskiego, Pracy przejściowej, Pakietów oprogramowania inżynierskiego, Zintegrowanych systemów CAD, Zintegrowanych systemów CAE przez przeszkolonych i certyfikowanych nauczycieli akademickich w oparciu o oprogramowanie CATIA w wersji edukacyjnej. System CATIA wykorzystywany jest także przy realizacji prac inżynierskich i magisterskich oraz w ramach działalności Koła Naukowego Komputerowego projektowania urządzeń </w:t>
      </w:r>
      <w:proofErr w:type="spellStart"/>
      <w:r>
        <w:t>mechatronicznych</w:t>
      </w:r>
      <w:proofErr w:type="spellEnd"/>
      <w:r>
        <w:t xml:space="preserve"> i maszyn. Ponadto system CATIA jest stosowany przez największego pracodawcę w Częstochowie firmę TRW, która nieustannie potrzebuje specjalistów znających to oprogramowanie. Zamawiający zamierza zakupić, łącznie 20 licencji na w/w oprogramowania, bądź oprogramowanie równoważne, zapewniające ten sam zakres funkcji i możliwość kształcenia studentów z w/w przedmiotu.</w:t>
      </w:r>
    </w:p>
    <w:p w:rsidR="005B21FE" w:rsidRDefault="004F0EF2" w:rsidP="00931CE4">
      <w:pPr>
        <w:spacing w:after="0" w:line="240" w:lineRule="auto"/>
        <w:jc w:val="both"/>
      </w:pPr>
      <w:r>
        <w:t>W przypadku zaproponowania oprogramowania równoważnego do CATIA, wymagane jest dostosowanie obecnie posiadanych stanowisk do współpracy z nowym oprogramowaniem i przeszkolenie, na koszt Wykonawcy, 4 osób wskazanych przez Zamawiającego na poziomie odpowiadającym szkoleniu zaawansowanemu bryłowemu i hybrydowemu, wraz prowadzeniem analiz kinematycznych i wytrzymałościowych, w terminie do 30 dni od podpisania umowy sprzedaży licencji.</w:t>
      </w:r>
    </w:p>
    <w:p w:rsidR="005B21FE" w:rsidRDefault="005B21FE" w:rsidP="00931CE4">
      <w:pPr>
        <w:spacing w:after="0" w:line="240" w:lineRule="auto"/>
        <w:jc w:val="both"/>
      </w:pPr>
    </w:p>
    <w:p w:rsidR="004F0EF2" w:rsidRPr="00931CE4" w:rsidRDefault="00E33613" w:rsidP="00931CE4">
      <w:pPr>
        <w:pStyle w:val="Nagwek2"/>
        <w:spacing w:before="0" w:line="240" w:lineRule="auto"/>
        <w:jc w:val="both"/>
        <w:rPr>
          <w:b/>
          <w:u w:val="single"/>
        </w:rPr>
      </w:pPr>
      <w:r w:rsidRPr="00931CE4">
        <w:rPr>
          <w:b/>
          <w:u w:val="single"/>
        </w:rPr>
        <w:t xml:space="preserve">Zadanie </w:t>
      </w:r>
      <w:r w:rsidR="004E0447" w:rsidRPr="00931CE4">
        <w:rPr>
          <w:b/>
          <w:u w:val="single"/>
        </w:rPr>
        <w:t>6</w:t>
      </w:r>
      <w:r w:rsidRPr="00931CE4">
        <w:rPr>
          <w:b/>
          <w:u w:val="single"/>
        </w:rPr>
        <w:t xml:space="preserve">- </w:t>
      </w:r>
      <w:r w:rsidR="002373FB" w:rsidRPr="00931CE4">
        <w:rPr>
          <w:b/>
          <w:u w:val="single"/>
        </w:rPr>
        <w:t xml:space="preserve">Oprogramowanie inżynierskie pozwalające na prowadzenie kompleksowych badań symulacyjnych złożonych systemów </w:t>
      </w:r>
      <w:proofErr w:type="spellStart"/>
      <w:r w:rsidR="002373FB" w:rsidRPr="00931CE4">
        <w:rPr>
          <w:b/>
          <w:u w:val="single"/>
        </w:rPr>
        <w:t>mechatronicznych</w:t>
      </w:r>
      <w:proofErr w:type="spellEnd"/>
      <w:r w:rsidR="002373FB" w:rsidRPr="00931CE4">
        <w:rPr>
          <w:b/>
          <w:u w:val="single"/>
        </w:rPr>
        <w:t xml:space="preserve"> – 1 licencja.</w:t>
      </w:r>
    </w:p>
    <w:p w:rsidR="002373FB" w:rsidRDefault="002373FB" w:rsidP="00931CE4">
      <w:pPr>
        <w:spacing w:after="0" w:line="240" w:lineRule="auto"/>
        <w:jc w:val="both"/>
      </w:pPr>
    </w:p>
    <w:p w:rsidR="002373FB" w:rsidRDefault="002373FB" w:rsidP="00931CE4">
      <w:pPr>
        <w:spacing w:after="0" w:line="240" w:lineRule="auto"/>
        <w:jc w:val="both"/>
      </w:pPr>
      <w:r>
        <w:t xml:space="preserve">Oprogramowanie firmy </w:t>
      </w:r>
      <w:proofErr w:type="spellStart"/>
      <w:r>
        <w:t>MSC.Software</w:t>
      </w:r>
      <w:proofErr w:type="spellEnd"/>
      <w:r>
        <w:t xml:space="preserve">: </w:t>
      </w:r>
      <w:proofErr w:type="spellStart"/>
      <w:r>
        <w:t>University</w:t>
      </w:r>
      <w:proofErr w:type="spellEnd"/>
      <w:r>
        <w:t xml:space="preserve"> MD FEA + Motion Bundle - LICENCJA PAID-UP (1 szt.) do roku 2099, Używanie oprogramowania do celów niekomercyjnych, Możliwość korzystania przez:50 użytkowników w sieci </w:t>
      </w:r>
      <w:proofErr w:type="spellStart"/>
      <w:r>
        <w:t>Local</w:t>
      </w:r>
      <w:proofErr w:type="spellEnd"/>
      <w:r>
        <w:t xml:space="preserve"> Network, </w:t>
      </w:r>
      <w:proofErr w:type="spellStart"/>
      <w:r>
        <w:t>Maintenance</w:t>
      </w:r>
      <w:proofErr w:type="spellEnd"/>
      <w:r>
        <w:t xml:space="preserve"> (pomoc techniczna +aktualizacje) przez okres 1 roku.</w:t>
      </w:r>
    </w:p>
    <w:p w:rsidR="002373FB" w:rsidRDefault="002373FB" w:rsidP="00931CE4">
      <w:pPr>
        <w:spacing w:after="0" w:line="240" w:lineRule="auto"/>
        <w:jc w:val="both"/>
      </w:pPr>
      <w:r>
        <w:t xml:space="preserve">Zawartość pakietu oprogramowania: </w:t>
      </w:r>
    </w:p>
    <w:p w:rsidR="002373FB" w:rsidRDefault="002373FB" w:rsidP="00931CE4">
      <w:pPr>
        <w:spacing w:after="0" w:line="240" w:lineRule="auto"/>
        <w:jc w:val="both"/>
      </w:pPr>
      <w:r>
        <w:lastRenderedPageBreak/>
        <w:t>•</w:t>
      </w:r>
      <w:r>
        <w:tab/>
        <w:t xml:space="preserve">MSC </w:t>
      </w:r>
      <w:proofErr w:type="spellStart"/>
      <w:r>
        <w:t>Nastran</w:t>
      </w:r>
      <w:proofErr w:type="spellEnd"/>
      <w:r>
        <w:t>: Basic (</w:t>
      </w:r>
      <w:proofErr w:type="spellStart"/>
      <w:r>
        <w:t>Linear</w:t>
      </w:r>
      <w:proofErr w:type="spellEnd"/>
      <w:r>
        <w:t xml:space="preserve"> </w:t>
      </w:r>
      <w:proofErr w:type="spellStart"/>
      <w:r>
        <w:t>Statics</w:t>
      </w:r>
      <w:proofErr w:type="spellEnd"/>
      <w:r>
        <w:t xml:space="preserve">, </w:t>
      </w:r>
      <w:proofErr w:type="spellStart"/>
      <w:r>
        <w:t>Normal</w:t>
      </w:r>
      <w:proofErr w:type="spellEnd"/>
      <w:r>
        <w:t xml:space="preserve"> </w:t>
      </w:r>
      <w:proofErr w:type="spellStart"/>
      <w:r>
        <w:t>Modes,Buckling</w:t>
      </w:r>
      <w:proofErr w:type="spellEnd"/>
      <w:r>
        <w:t xml:space="preserve">), ACMS, </w:t>
      </w:r>
      <w:proofErr w:type="spellStart"/>
      <w:r>
        <w:t>Acoustics</w:t>
      </w:r>
      <w:proofErr w:type="spellEnd"/>
      <w:r>
        <w:t xml:space="preserve">, Adams Integration, Advanced </w:t>
      </w:r>
      <w:proofErr w:type="spellStart"/>
      <w:r>
        <w:t>Nonlinear</w:t>
      </w:r>
      <w:proofErr w:type="spellEnd"/>
      <w:r>
        <w:t xml:space="preserve"> (SOL400), </w:t>
      </w:r>
      <w:proofErr w:type="spellStart"/>
      <w:r>
        <w:t>Aeroelasticity</w:t>
      </w:r>
      <w:proofErr w:type="spellEnd"/>
      <w:r>
        <w:t xml:space="preserve"> I, </w:t>
      </w:r>
      <w:proofErr w:type="spellStart"/>
      <w:r>
        <w:t>Connectors</w:t>
      </w:r>
      <w:proofErr w:type="spellEnd"/>
      <w:r>
        <w:t xml:space="preserve">, Design </w:t>
      </w:r>
      <w:proofErr w:type="spellStart"/>
      <w:r>
        <w:t>Optimization</w:t>
      </w:r>
      <w:proofErr w:type="spellEnd"/>
      <w:r>
        <w:t xml:space="preserve">, Distributed Memory </w:t>
      </w:r>
      <w:proofErr w:type="spellStart"/>
      <w:r>
        <w:t>Parallel</w:t>
      </w:r>
      <w:proofErr w:type="spellEnd"/>
      <w:r>
        <w:t xml:space="preserve"> (DMP), DMAP, </w:t>
      </w:r>
      <w:proofErr w:type="spellStart"/>
      <w:r>
        <w:t>Dynamic</w:t>
      </w:r>
      <w:proofErr w:type="spellEnd"/>
      <w:r>
        <w:t xml:space="preserve"> Design Analysis Method (DDAM), Dynamics, </w:t>
      </w:r>
      <w:proofErr w:type="spellStart"/>
      <w:r>
        <w:t>Explicit</w:t>
      </w:r>
      <w:proofErr w:type="spellEnd"/>
      <w:r>
        <w:t xml:space="preserve"> </w:t>
      </w:r>
      <w:proofErr w:type="spellStart"/>
      <w:r>
        <w:t>Nonlinear</w:t>
      </w:r>
      <w:proofErr w:type="spellEnd"/>
      <w:r>
        <w:t xml:space="preserve"> (SOL 700), </w:t>
      </w:r>
      <w:proofErr w:type="spellStart"/>
      <w:r>
        <w:t>Explicit</w:t>
      </w:r>
      <w:proofErr w:type="spellEnd"/>
      <w:r>
        <w:t xml:space="preserve"> </w:t>
      </w:r>
      <w:proofErr w:type="spellStart"/>
      <w:r>
        <w:t>Nonlinear</w:t>
      </w:r>
      <w:proofErr w:type="spellEnd"/>
      <w:r>
        <w:t xml:space="preserve"> Multi-</w:t>
      </w:r>
      <w:proofErr w:type="spellStart"/>
      <w:r>
        <w:t>Processor</w:t>
      </w:r>
      <w:proofErr w:type="spellEnd"/>
      <w:r>
        <w:t xml:space="preserve">, </w:t>
      </w:r>
      <w:proofErr w:type="spellStart"/>
      <w:r>
        <w:t>Heat</w:t>
      </w:r>
      <w:proofErr w:type="spellEnd"/>
      <w:r>
        <w:t xml:space="preserve"> Transfer, </w:t>
      </w:r>
      <w:proofErr w:type="spellStart"/>
      <w:r>
        <w:t>Implicit</w:t>
      </w:r>
      <w:proofErr w:type="spellEnd"/>
      <w:r>
        <w:t xml:space="preserve"> </w:t>
      </w:r>
      <w:proofErr w:type="spellStart"/>
      <w:r>
        <w:t>Nonlinear</w:t>
      </w:r>
      <w:proofErr w:type="spellEnd"/>
      <w:r>
        <w:t xml:space="preserve"> (SOL600), </w:t>
      </w:r>
      <w:proofErr w:type="spellStart"/>
      <w:r>
        <w:t>Implicit</w:t>
      </w:r>
      <w:proofErr w:type="spellEnd"/>
      <w:r>
        <w:t xml:space="preserve"> </w:t>
      </w:r>
      <w:proofErr w:type="spellStart"/>
      <w:r>
        <w:t>Nonlinear</w:t>
      </w:r>
      <w:proofErr w:type="spellEnd"/>
      <w:r>
        <w:t xml:space="preserve"> </w:t>
      </w:r>
      <w:proofErr w:type="spellStart"/>
      <w:r>
        <w:t>Shape</w:t>
      </w:r>
      <w:proofErr w:type="spellEnd"/>
      <w:r>
        <w:t xml:space="preserve"> Memory Materials, </w:t>
      </w:r>
      <w:proofErr w:type="spellStart"/>
      <w:r>
        <w:t>Implicit</w:t>
      </w:r>
      <w:proofErr w:type="spellEnd"/>
      <w:r>
        <w:t xml:space="preserve"> </w:t>
      </w:r>
      <w:proofErr w:type="spellStart"/>
      <w:r>
        <w:t>Nonlinear</w:t>
      </w:r>
      <w:proofErr w:type="spellEnd"/>
      <w:r>
        <w:t xml:space="preserve"> </w:t>
      </w:r>
      <w:proofErr w:type="spellStart"/>
      <w:r>
        <w:t>Hemi</w:t>
      </w:r>
      <w:proofErr w:type="spellEnd"/>
      <w:r>
        <w:t xml:space="preserve"> </w:t>
      </w:r>
      <w:proofErr w:type="spellStart"/>
      <w:r>
        <w:t>Cube</w:t>
      </w:r>
      <w:proofErr w:type="spellEnd"/>
      <w:r>
        <w:t xml:space="preserve"> </w:t>
      </w:r>
      <w:proofErr w:type="spellStart"/>
      <w:r>
        <w:t>View</w:t>
      </w:r>
      <w:proofErr w:type="spellEnd"/>
      <w:r>
        <w:t xml:space="preserve"> </w:t>
      </w:r>
      <w:proofErr w:type="spellStart"/>
      <w:r>
        <w:t>Factors</w:t>
      </w:r>
      <w:proofErr w:type="spellEnd"/>
      <w:r>
        <w:t xml:space="preserve">, </w:t>
      </w:r>
      <w:proofErr w:type="spellStart"/>
      <w:r>
        <w:t>Implicit</w:t>
      </w:r>
      <w:proofErr w:type="spellEnd"/>
      <w:r>
        <w:t xml:space="preserve"> </w:t>
      </w:r>
      <w:proofErr w:type="spellStart"/>
      <w:r>
        <w:t>Nonlinear</w:t>
      </w:r>
      <w:proofErr w:type="spellEnd"/>
      <w:r>
        <w:t xml:space="preserve"> Multi-</w:t>
      </w:r>
      <w:proofErr w:type="spellStart"/>
      <w:r>
        <w:t>Processor</w:t>
      </w:r>
      <w:proofErr w:type="spellEnd"/>
      <w:r>
        <w:t xml:space="preserve">, </w:t>
      </w:r>
      <w:proofErr w:type="spellStart"/>
      <w:r>
        <w:t>Linear</w:t>
      </w:r>
      <w:proofErr w:type="spellEnd"/>
      <w:r>
        <w:t xml:space="preserve"> </w:t>
      </w:r>
      <w:proofErr w:type="spellStart"/>
      <w:r>
        <w:t>Contact</w:t>
      </w:r>
      <w:proofErr w:type="spellEnd"/>
      <w:r>
        <w:t xml:space="preserve">, LS-DYNA Translator, </w:t>
      </w:r>
      <w:proofErr w:type="spellStart"/>
      <w:r>
        <w:t>Marc</w:t>
      </w:r>
      <w:proofErr w:type="spellEnd"/>
      <w:r>
        <w:t xml:space="preserve"> Translator, </w:t>
      </w:r>
      <w:proofErr w:type="spellStart"/>
      <w:r>
        <w:t>Nonlinear</w:t>
      </w:r>
      <w:proofErr w:type="spellEnd"/>
      <w:r>
        <w:t xml:space="preserve">, Rotor Dynamics, </w:t>
      </w:r>
      <w:proofErr w:type="spellStart"/>
      <w:r>
        <w:t>Shared</w:t>
      </w:r>
      <w:proofErr w:type="spellEnd"/>
      <w:r>
        <w:t xml:space="preserve"> Memory </w:t>
      </w:r>
      <w:proofErr w:type="spellStart"/>
      <w:r>
        <w:t>Parallel</w:t>
      </w:r>
      <w:proofErr w:type="spellEnd"/>
      <w:r>
        <w:t xml:space="preserve"> (SMP), </w:t>
      </w:r>
      <w:proofErr w:type="spellStart"/>
      <w:r>
        <w:t>Superelements</w:t>
      </w:r>
      <w:proofErr w:type="spellEnd"/>
      <w:r>
        <w:t xml:space="preserve">, </w:t>
      </w:r>
      <w:proofErr w:type="spellStart"/>
      <w:r>
        <w:t>Topology</w:t>
      </w:r>
      <w:proofErr w:type="spellEnd"/>
      <w:r>
        <w:t xml:space="preserve"> </w:t>
      </w:r>
      <w:proofErr w:type="spellStart"/>
      <w:r>
        <w:t>Optimization</w:t>
      </w:r>
      <w:proofErr w:type="spellEnd"/>
      <w:r>
        <w:t xml:space="preserve">, Multi-Model </w:t>
      </w:r>
      <w:proofErr w:type="spellStart"/>
      <w:r>
        <w:t>Optimization</w:t>
      </w:r>
      <w:proofErr w:type="spellEnd"/>
      <w:r>
        <w:t xml:space="preserve">; </w:t>
      </w:r>
    </w:p>
    <w:p w:rsidR="002373FB" w:rsidRDefault="002373FB" w:rsidP="00931CE4">
      <w:pPr>
        <w:spacing w:after="0" w:line="240" w:lineRule="auto"/>
        <w:jc w:val="both"/>
      </w:pPr>
      <w:r>
        <w:t>•</w:t>
      </w:r>
      <w:r>
        <w:tab/>
      </w:r>
      <w:proofErr w:type="spellStart"/>
      <w:r>
        <w:t>Patran</w:t>
      </w:r>
      <w:proofErr w:type="spellEnd"/>
      <w:r>
        <w:t xml:space="preserve">: </w:t>
      </w:r>
      <w:proofErr w:type="spellStart"/>
      <w:r>
        <w:t>Patran</w:t>
      </w:r>
      <w:proofErr w:type="spellEnd"/>
      <w:r>
        <w:t xml:space="preserve">, Analysis Manager, Queue Manager, </w:t>
      </w:r>
      <w:proofErr w:type="spellStart"/>
      <w:r>
        <w:t>Dytran</w:t>
      </w:r>
      <w:proofErr w:type="spellEnd"/>
      <w:r>
        <w:t xml:space="preserve"> </w:t>
      </w:r>
      <w:proofErr w:type="spellStart"/>
      <w:r>
        <w:t>Preference</w:t>
      </w:r>
      <w:proofErr w:type="spellEnd"/>
      <w:r>
        <w:t xml:space="preserve">, </w:t>
      </w:r>
      <w:proofErr w:type="spellStart"/>
      <w:r>
        <w:t>Marc</w:t>
      </w:r>
      <w:proofErr w:type="spellEnd"/>
      <w:r>
        <w:t xml:space="preserve"> </w:t>
      </w:r>
      <w:proofErr w:type="spellStart"/>
      <w:r>
        <w:t>Preference</w:t>
      </w:r>
      <w:proofErr w:type="spellEnd"/>
      <w:r>
        <w:t xml:space="preserve">, MD </w:t>
      </w:r>
      <w:proofErr w:type="spellStart"/>
      <w:r>
        <w:t>Nastran</w:t>
      </w:r>
      <w:proofErr w:type="spellEnd"/>
      <w:r>
        <w:t xml:space="preserve"> </w:t>
      </w:r>
      <w:proofErr w:type="spellStart"/>
      <w:r>
        <w:t>Preference</w:t>
      </w:r>
      <w:proofErr w:type="spellEnd"/>
      <w:r>
        <w:t>, I-</w:t>
      </w:r>
      <w:proofErr w:type="spellStart"/>
      <w:r>
        <w:t>deas</w:t>
      </w:r>
      <w:proofErr w:type="spellEnd"/>
      <w:r>
        <w:t xml:space="preserve"> </w:t>
      </w:r>
      <w:proofErr w:type="spellStart"/>
      <w:r>
        <w:t>Preference</w:t>
      </w:r>
      <w:proofErr w:type="spellEnd"/>
      <w:r>
        <w:t xml:space="preserve">, PAM-CRASH </w:t>
      </w:r>
      <w:proofErr w:type="spellStart"/>
      <w:r>
        <w:t>Preference</w:t>
      </w:r>
      <w:proofErr w:type="spellEnd"/>
      <w:r>
        <w:t xml:space="preserve">, Advanced </w:t>
      </w:r>
      <w:proofErr w:type="spellStart"/>
      <w:r>
        <w:t>Surface</w:t>
      </w:r>
      <w:proofErr w:type="spellEnd"/>
      <w:r>
        <w:t xml:space="preserve"> </w:t>
      </w:r>
      <w:proofErr w:type="spellStart"/>
      <w:r>
        <w:t>Meshing</w:t>
      </w:r>
      <w:proofErr w:type="spellEnd"/>
      <w:r>
        <w:t xml:space="preserve">, </w:t>
      </w:r>
      <w:proofErr w:type="spellStart"/>
      <w:r>
        <w:t>Beam</w:t>
      </w:r>
      <w:proofErr w:type="spellEnd"/>
      <w:r>
        <w:t xml:space="preserve"> Tools, </w:t>
      </w:r>
      <w:proofErr w:type="spellStart"/>
      <w:r>
        <w:t>Random</w:t>
      </w:r>
      <w:proofErr w:type="spellEnd"/>
      <w:r>
        <w:t xml:space="preserve"> Analysis, </w:t>
      </w:r>
      <w:proofErr w:type="spellStart"/>
      <w:r>
        <w:t>Thermal</w:t>
      </w:r>
      <w:proofErr w:type="spellEnd"/>
      <w:r>
        <w:t xml:space="preserve">, IGES Access, CATIA Access, STEP AP203 Access, STEP AP209 Access, VDA Access, ABAQUS </w:t>
      </w:r>
      <w:proofErr w:type="spellStart"/>
      <w:r>
        <w:t>Preference</w:t>
      </w:r>
      <w:proofErr w:type="spellEnd"/>
      <w:r>
        <w:t xml:space="preserve">, ANSYS </w:t>
      </w:r>
      <w:proofErr w:type="spellStart"/>
      <w:r>
        <w:t>Preference</w:t>
      </w:r>
      <w:proofErr w:type="spellEnd"/>
      <w:r>
        <w:t xml:space="preserve">, Materials, Materials Enterprise; </w:t>
      </w:r>
    </w:p>
    <w:p w:rsidR="002373FB" w:rsidRDefault="002373FB" w:rsidP="00931CE4">
      <w:pPr>
        <w:spacing w:after="0" w:line="240" w:lineRule="auto"/>
        <w:jc w:val="both"/>
      </w:pPr>
      <w:r>
        <w:t>•</w:t>
      </w:r>
      <w:r>
        <w:tab/>
      </w:r>
      <w:proofErr w:type="spellStart"/>
      <w:r>
        <w:t>Flightloads</w:t>
      </w:r>
      <w:proofErr w:type="spellEnd"/>
      <w:r>
        <w:t xml:space="preserve">; </w:t>
      </w:r>
    </w:p>
    <w:p w:rsidR="002373FB" w:rsidRDefault="002373FB" w:rsidP="00931CE4">
      <w:pPr>
        <w:spacing w:after="0" w:line="240" w:lineRule="auto"/>
        <w:jc w:val="both"/>
      </w:pPr>
      <w:r>
        <w:t>•</w:t>
      </w:r>
      <w:r>
        <w:tab/>
      </w:r>
      <w:proofErr w:type="spellStart"/>
      <w:r>
        <w:t>Dytran</w:t>
      </w:r>
      <w:proofErr w:type="spellEnd"/>
      <w:r>
        <w:t xml:space="preserve">; </w:t>
      </w:r>
    </w:p>
    <w:p w:rsidR="002373FB" w:rsidRDefault="002373FB" w:rsidP="00931CE4">
      <w:pPr>
        <w:spacing w:after="0" w:line="240" w:lineRule="auto"/>
        <w:jc w:val="both"/>
      </w:pPr>
      <w:r>
        <w:t>•</w:t>
      </w:r>
      <w:r>
        <w:tab/>
      </w:r>
      <w:proofErr w:type="spellStart"/>
      <w:r>
        <w:t>Marc</w:t>
      </w:r>
      <w:proofErr w:type="spellEnd"/>
      <w:r>
        <w:t xml:space="preserve">: Standard, </w:t>
      </w:r>
      <w:proofErr w:type="spellStart"/>
      <w:r>
        <w:t>Electrical</w:t>
      </w:r>
      <w:proofErr w:type="spellEnd"/>
      <w:r>
        <w:t xml:space="preserve">, Global </w:t>
      </w:r>
      <w:proofErr w:type="spellStart"/>
      <w:r>
        <w:t>Remeshing</w:t>
      </w:r>
      <w:proofErr w:type="spellEnd"/>
      <w:r>
        <w:t xml:space="preserve">, </w:t>
      </w:r>
      <w:proofErr w:type="spellStart"/>
      <w:r>
        <w:t>Hemi-Cube</w:t>
      </w:r>
      <w:proofErr w:type="spellEnd"/>
      <w:r>
        <w:t xml:space="preserve"> </w:t>
      </w:r>
      <w:proofErr w:type="spellStart"/>
      <w:r>
        <w:t>View</w:t>
      </w:r>
      <w:proofErr w:type="spellEnd"/>
      <w:r>
        <w:t xml:space="preserve"> </w:t>
      </w:r>
      <w:proofErr w:type="spellStart"/>
      <w:r>
        <w:t>Factors</w:t>
      </w:r>
      <w:proofErr w:type="spellEnd"/>
      <w:r>
        <w:t xml:space="preserve">, 2D </w:t>
      </w:r>
      <w:proofErr w:type="spellStart"/>
      <w:r>
        <w:t>Mesher</w:t>
      </w:r>
      <w:proofErr w:type="spellEnd"/>
      <w:r>
        <w:t xml:space="preserve">, 3D </w:t>
      </w:r>
      <w:proofErr w:type="spellStart"/>
      <w:r>
        <w:t>Mesher</w:t>
      </w:r>
      <w:proofErr w:type="spellEnd"/>
      <w:r>
        <w:t xml:space="preserve">, Metal </w:t>
      </w:r>
      <w:proofErr w:type="spellStart"/>
      <w:r>
        <w:t>Cutting</w:t>
      </w:r>
      <w:proofErr w:type="spellEnd"/>
      <w:r>
        <w:t>, Multi-</w:t>
      </w:r>
      <w:proofErr w:type="spellStart"/>
      <w:r>
        <w:t>Processor</w:t>
      </w:r>
      <w:proofErr w:type="spellEnd"/>
      <w:r>
        <w:t xml:space="preserve">, </w:t>
      </w:r>
      <w:proofErr w:type="spellStart"/>
      <w:r>
        <w:t>Shape</w:t>
      </w:r>
      <w:proofErr w:type="spellEnd"/>
      <w:r>
        <w:t xml:space="preserve"> Memory Materials, </w:t>
      </w:r>
      <w:proofErr w:type="spellStart"/>
      <w:r>
        <w:t>Mentat</w:t>
      </w:r>
      <w:proofErr w:type="spellEnd"/>
      <w:r>
        <w:t xml:space="preserve">, </w:t>
      </w:r>
      <w:proofErr w:type="spellStart"/>
      <w:r>
        <w:t>Mentat</w:t>
      </w:r>
      <w:proofErr w:type="spellEnd"/>
      <w:r>
        <w:t xml:space="preserve"> </w:t>
      </w:r>
      <w:proofErr w:type="spellStart"/>
      <w:r>
        <w:t>Hex</w:t>
      </w:r>
      <w:proofErr w:type="spellEnd"/>
      <w:r>
        <w:t xml:space="preserve"> </w:t>
      </w:r>
      <w:proofErr w:type="spellStart"/>
      <w:r>
        <w:t>Mesher</w:t>
      </w:r>
      <w:proofErr w:type="spellEnd"/>
      <w:r>
        <w:t xml:space="preserve">, </w:t>
      </w:r>
      <w:proofErr w:type="spellStart"/>
      <w:r>
        <w:t>Mentat</w:t>
      </w:r>
      <w:proofErr w:type="spellEnd"/>
      <w:r>
        <w:t xml:space="preserve"> ITI Access, </w:t>
      </w:r>
      <w:proofErr w:type="spellStart"/>
      <w:r>
        <w:t>Mentat</w:t>
      </w:r>
      <w:proofErr w:type="spellEnd"/>
      <w:r>
        <w:t xml:space="preserve"> CMOLD Access; </w:t>
      </w:r>
    </w:p>
    <w:p w:rsidR="002373FB" w:rsidRDefault="002373FB" w:rsidP="00931CE4">
      <w:pPr>
        <w:spacing w:after="0" w:line="240" w:lineRule="auto"/>
        <w:jc w:val="both"/>
      </w:pPr>
      <w:r>
        <w:t>•</w:t>
      </w:r>
      <w:r>
        <w:tab/>
      </w:r>
      <w:proofErr w:type="spellStart"/>
      <w:r>
        <w:t>Sinda</w:t>
      </w:r>
      <w:proofErr w:type="spellEnd"/>
      <w:r>
        <w:t xml:space="preserve">: </w:t>
      </w:r>
      <w:proofErr w:type="spellStart"/>
      <w:r>
        <w:t>Sinda</w:t>
      </w:r>
      <w:proofErr w:type="spellEnd"/>
      <w:r>
        <w:t xml:space="preserve">, </w:t>
      </w:r>
      <w:proofErr w:type="spellStart"/>
      <w:r>
        <w:t>SindaPatran</w:t>
      </w:r>
      <w:proofErr w:type="spellEnd"/>
      <w:r>
        <w:t xml:space="preserve"> Plug-in, </w:t>
      </w:r>
      <w:proofErr w:type="spellStart"/>
      <w:r>
        <w:t>SindaRad</w:t>
      </w:r>
      <w:proofErr w:type="spellEnd"/>
      <w:r>
        <w:t xml:space="preserve">, </w:t>
      </w:r>
      <w:proofErr w:type="spellStart"/>
      <w:r>
        <w:t>Incompressible</w:t>
      </w:r>
      <w:proofErr w:type="spellEnd"/>
      <w:r>
        <w:t xml:space="preserve"> </w:t>
      </w:r>
      <w:proofErr w:type="spellStart"/>
      <w:r>
        <w:t>Fluids</w:t>
      </w:r>
      <w:proofErr w:type="spellEnd"/>
      <w:r>
        <w:t xml:space="preserve"> Library, </w:t>
      </w:r>
      <w:proofErr w:type="spellStart"/>
      <w:r>
        <w:t>Offie</w:t>
      </w:r>
      <w:proofErr w:type="spellEnd"/>
      <w:r>
        <w:t xml:space="preserve"> Toolkit, Network </w:t>
      </w:r>
      <w:proofErr w:type="spellStart"/>
      <w:r>
        <w:t>Moduler</w:t>
      </w:r>
      <w:proofErr w:type="spellEnd"/>
      <w:r>
        <w:t xml:space="preserve"> </w:t>
      </w:r>
      <w:proofErr w:type="spellStart"/>
      <w:r>
        <w:t>Package</w:t>
      </w:r>
      <w:proofErr w:type="spellEnd"/>
      <w:r>
        <w:t xml:space="preserve">; </w:t>
      </w:r>
    </w:p>
    <w:p w:rsidR="002373FB" w:rsidRDefault="002373FB" w:rsidP="00931CE4">
      <w:pPr>
        <w:spacing w:after="0" w:line="240" w:lineRule="auto"/>
        <w:jc w:val="both"/>
      </w:pPr>
      <w:r>
        <w:t>•</w:t>
      </w:r>
      <w:r>
        <w:tab/>
        <w:t xml:space="preserve">Adams: </w:t>
      </w:r>
      <w:proofErr w:type="spellStart"/>
      <w:r>
        <w:t>View</w:t>
      </w:r>
      <w:proofErr w:type="spellEnd"/>
      <w:r>
        <w:t xml:space="preserve">, Exchange, </w:t>
      </w:r>
      <w:proofErr w:type="spellStart"/>
      <w:r>
        <w:t>Flex</w:t>
      </w:r>
      <w:proofErr w:type="spellEnd"/>
      <w:r>
        <w:t xml:space="preserve">, Controls, </w:t>
      </w:r>
      <w:proofErr w:type="spellStart"/>
      <w:r>
        <w:t>Mechatronic</w:t>
      </w:r>
      <w:proofErr w:type="spellEnd"/>
      <w:r>
        <w:t xml:space="preserve">, </w:t>
      </w:r>
      <w:proofErr w:type="spellStart"/>
      <w:r>
        <w:t>Vibration</w:t>
      </w:r>
      <w:proofErr w:type="spellEnd"/>
      <w:r>
        <w:t xml:space="preserve">, </w:t>
      </w:r>
      <w:proofErr w:type="spellStart"/>
      <w:r>
        <w:t>Durability</w:t>
      </w:r>
      <w:proofErr w:type="spellEnd"/>
      <w:r>
        <w:t xml:space="preserve">, </w:t>
      </w:r>
      <w:proofErr w:type="spellStart"/>
      <w:r>
        <w:t>Solver</w:t>
      </w:r>
      <w:proofErr w:type="spellEnd"/>
      <w:r>
        <w:t xml:space="preserve">, </w:t>
      </w:r>
      <w:proofErr w:type="spellStart"/>
      <w:r>
        <w:t>Solver</w:t>
      </w:r>
      <w:proofErr w:type="spellEnd"/>
      <w:r>
        <w:t xml:space="preserve"> </w:t>
      </w:r>
      <w:proofErr w:type="spellStart"/>
      <w:r>
        <w:t>Share</w:t>
      </w:r>
      <w:proofErr w:type="spellEnd"/>
      <w:r>
        <w:t xml:space="preserve">, </w:t>
      </w:r>
      <w:proofErr w:type="spellStart"/>
      <w:r>
        <w:t>Linear</w:t>
      </w:r>
      <w:proofErr w:type="spellEnd"/>
      <w:r>
        <w:t xml:space="preserve">, </w:t>
      </w:r>
      <w:proofErr w:type="spellStart"/>
      <w:r>
        <w:t>ViewFlex</w:t>
      </w:r>
      <w:proofErr w:type="spellEnd"/>
      <w:r>
        <w:t xml:space="preserve">, CAD </w:t>
      </w:r>
      <w:proofErr w:type="spellStart"/>
      <w:r>
        <w:t>Translators</w:t>
      </w:r>
      <w:proofErr w:type="spellEnd"/>
      <w:r>
        <w:t xml:space="preserve">; </w:t>
      </w:r>
    </w:p>
    <w:p w:rsidR="002373FB" w:rsidRDefault="002373FB" w:rsidP="00931CE4">
      <w:pPr>
        <w:spacing w:after="0" w:line="240" w:lineRule="auto"/>
        <w:jc w:val="both"/>
      </w:pPr>
      <w:r>
        <w:t>•</w:t>
      </w:r>
      <w:r>
        <w:tab/>
        <w:t xml:space="preserve">Adams/Car: Car, Car Suspens, Car </w:t>
      </w:r>
      <w:proofErr w:type="spellStart"/>
      <w:r>
        <w:t>Ride</w:t>
      </w:r>
      <w:proofErr w:type="spellEnd"/>
      <w:r>
        <w:t xml:space="preserve">, Tire Handling, 3D Road, </w:t>
      </w:r>
      <w:proofErr w:type="spellStart"/>
      <w:r>
        <w:t>SmartDriver</w:t>
      </w:r>
      <w:proofErr w:type="spellEnd"/>
      <w:r>
        <w:t xml:space="preserve">, </w:t>
      </w:r>
      <w:proofErr w:type="spellStart"/>
      <w:r>
        <w:t>Driveline</w:t>
      </w:r>
      <w:proofErr w:type="spellEnd"/>
      <w:r>
        <w:t xml:space="preserve">, Chassis; </w:t>
      </w:r>
    </w:p>
    <w:p w:rsidR="002373FB" w:rsidRDefault="002373FB" w:rsidP="00931CE4">
      <w:pPr>
        <w:spacing w:after="0" w:line="240" w:lineRule="auto"/>
        <w:jc w:val="both"/>
      </w:pPr>
      <w:r>
        <w:t>•</w:t>
      </w:r>
      <w:r>
        <w:tab/>
        <w:t>Adams/</w:t>
      </w:r>
      <w:proofErr w:type="spellStart"/>
      <w:r>
        <w:t>Machinery</w:t>
      </w:r>
      <w:proofErr w:type="spellEnd"/>
      <w:r>
        <w:t xml:space="preserve">: Belt module, Gear module, Chain module, </w:t>
      </w:r>
      <w:proofErr w:type="spellStart"/>
      <w:r>
        <w:t>Bearing</w:t>
      </w:r>
      <w:proofErr w:type="spellEnd"/>
      <w:r>
        <w:t xml:space="preserve"> module; </w:t>
      </w:r>
    </w:p>
    <w:p w:rsidR="002373FB" w:rsidRDefault="002373FB" w:rsidP="00931CE4">
      <w:pPr>
        <w:spacing w:after="0" w:line="240" w:lineRule="auto"/>
        <w:jc w:val="both"/>
      </w:pPr>
      <w:r>
        <w:t>•</w:t>
      </w:r>
      <w:r>
        <w:tab/>
      </w:r>
      <w:proofErr w:type="spellStart"/>
      <w:r>
        <w:t>Easy</w:t>
      </w:r>
      <w:proofErr w:type="spellEnd"/>
      <w:r>
        <w:t xml:space="preserve"> 5: Model </w:t>
      </w:r>
      <w:proofErr w:type="spellStart"/>
      <w:r>
        <w:t>Building</w:t>
      </w:r>
      <w:proofErr w:type="spellEnd"/>
      <w:r>
        <w:t xml:space="preserve">, Analysis, MATLAB Interface, </w:t>
      </w:r>
      <w:proofErr w:type="spellStart"/>
      <w:r>
        <w:t>Matrix</w:t>
      </w:r>
      <w:proofErr w:type="spellEnd"/>
      <w:r>
        <w:t xml:space="preserve"> Algebra </w:t>
      </w:r>
      <w:proofErr w:type="spellStart"/>
      <w:r>
        <w:t>Tool</w:t>
      </w:r>
      <w:proofErr w:type="spellEnd"/>
      <w:r>
        <w:t xml:space="preserve"> (MAT), Library Developer, </w:t>
      </w:r>
      <w:proofErr w:type="spellStart"/>
      <w:r>
        <w:t>Gas</w:t>
      </w:r>
      <w:proofErr w:type="spellEnd"/>
      <w:r>
        <w:t xml:space="preserve"> Dynamics/</w:t>
      </w:r>
      <w:proofErr w:type="spellStart"/>
      <w:r>
        <w:t>Pneumatics</w:t>
      </w:r>
      <w:proofErr w:type="spellEnd"/>
      <w:r>
        <w:t xml:space="preserve"> </w:t>
      </w:r>
      <w:proofErr w:type="spellStart"/>
      <w:r>
        <w:t>Lib</w:t>
      </w:r>
      <w:proofErr w:type="spellEnd"/>
      <w:r>
        <w:t xml:space="preserve">, </w:t>
      </w:r>
      <w:proofErr w:type="spellStart"/>
      <w:r>
        <w:t>Multiphase</w:t>
      </w:r>
      <w:proofErr w:type="spellEnd"/>
      <w:r>
        <w:t xml:space="preserve"> Fluid Library, </w:t>
      </w:r>
      <w:proofErr w:type="spellStart"/>
      <w:r>
        <w:t>Thermal</w:t>
      </w:r>
      <w:proofErr w:type="spellEnd"/>
      <w:r>
        <w:t xml:space="preserve"> </w:t>
      </w:r>
      <w:proofErr w:type="spellStart"/>
      <w:r>
        <w:t>Hydraulics</w:t>
      </w:r>
      <w:proofErr w:type="spellEnd"/>
      <w:r>
        <w:t xml:space="preserve"> Library.</w:t>
      </w:r>
    </w:p>
    <w:p w:rsidR="002373FB" w:rsidRDefault="002373FB" w:rsidP="00931CE4">
      <w:pPr>
        <w:spacing w:after="0" w:line="240" w:lineRule="auto"/>
        <w:jc w:val="both"/>
      </w:pPr>
      <w:r>
        <w:t xml:space="preserve">Moduł MSC </w:t>
      </w:r>
      <w:proofErr w:type="spellStart"/>
      <w:r>
        <w:t>Nastran</w:t>
      </w:r>
      <w:proofErr w:type="spellEnd"/>
      <w:r>
        <w:t xml:space="preserve"> to program umożliwiający obliczenia Metodą Elementów Skończonych w zakresie: statyki (liniowej i nieliniowej), </w:t>
      </w:r>
      <w:proofErr w:type="spellStart"/>
      <w:r>
        <w:t>wyboczeń</w:t>
      </w:r>
      <w:proofErr w:type="spellEnd"/>
      <w:r>
        <w:t xml:space="preserve">, analizy modalnej, analiz częstotliwościowych, przewodnictwa cieplnego, analizy kompozytów, analiz osiowo-symetrycznych, harmonicznych, akustyki, zjawisk aeroelastycznych. </w:t>
      </w:r>
      <w:proofErr w:type="spellStart"/>
      <w:r>
        <w:t>Nastran</w:t>
      </w:r>
      <w:proofErr w:type="spellEnd"/>
      <w:r>
        <w:t xml:space="preserve"> pozwala również na optymalizację topologiczną oraz topograficzną. Umożliwia zastosowanie opisów materiałów liniowych, </w:t>
      </w:r>
      <w:proofErr w:type="spellStart"/>
      <w:r>
        <w:t>biliniowych</w:t>
      </w:r>
      <w:proofErr w:type="spellEnd"/>
      <w:r>
        <w:t xml:space="preserve">, </w:t>
      </w:r>
      <w:proofErr w:type="spellStart"/>
      <w:r>
        <w:t>ortotropowych</w:t>
      </w:r>
      <w:proofErr w:type="spellEnd"/>
      <w:r>
        <w:t xml:space="preserve">, anizotropowych i </w:t>
      </w:r>
      <w:proofErr w:type="spellStart"/>
      <w:r>
        <w:t>hiperelastycznych</w:t>
      </w:r>
      <w:proofErr w:type="spellEnd"/>
      <w:r>
        <w:t xml:space="preserve">. Program daje możliwości zastosowania więzów kinematycznych, umożliwia obliczenia ze stosowaniem napięcia wstępnego, kontaktu, powierzchni ślizgowych i innych. MSC </w:t>
      </w:r>
      <w:proofErr w:type="spellStart"/>
      <w:r>
        <w:t>Nastran</w:t>
      </w:r>
      <w:proofErr w:type="spellEnd"/>
      <w:r>
        <w:t xml:space="preserve"> opiera się na pracy wykonanej przez naukowców z NASA i jest zaufany do projektowania systemów o znaczeniu krytycznym w każdej branży. Prawie każdy statek, samolot i pojazd zaprojektowany w ciągu ostatnich 40 lat został poddany analizie przy użyciu MSC </w:t>
      </w:r>
      <w:proofErr w:type="spellStart"/>
      <w:r>
        <w:t>Nastran</w:t>
      </w:r>
      <w:proofErr w:type="spellEnd"/>
      <w:r>
        <w:t xml:space="preserve">. </w:t>
      </w:r>
    </w:p>
    <w:p w:rsidR="002373FB" w:rsidRDefault="002373FB" w:rsidP="00931CE4">
      <w:pPr>
        <w:spacing w:after="0" w:line="240" w:lineRule="auto"/>
        <w:jc w:val="both"/>
      </w:pPr>
      <w:r>
        <w:t xml:space="preserve">Moduł </w:t>
      </w:r>
      <w:proofErr w:type="spellStart"/>
      <w:r>
        <w:t>Patran</w:t>
      </w:r>
      <w:proofErr w:type="spellEnd"/>
      <w:r>
        <w:t xml:space="preserve"> jest wiodącym </w:t>
      </w:r>
      <w:proofErr w:type="spellStart"/>
      <w:r>
        <w:t>pre</w:t>
      </w:r>
      <w:proofErr w:type="spellEnd"/>
      <w:r>
        <w:t xml:space="preserve"> i post procesorem dla symulacji CAE. Współpracuje z systemami CAD takimi jak: CATIA, Pro/E, UG, IDEAS. Obsługuje uniwersalne formaty wymiany geometrii – IGES, STEP, </w:t>
      </w:r>
      <w:proofErr w:type="spellStart"/>
      <w:r>
        <w:t>Parasolid</w:t>
      </w:r>
      <w:proofErr w:type="spellEnd"/>
      <w:r>
        <w:t xml:space="preserve">, STL. Jest dedykowany dla współpracy z programami obliczeniowymi </w:t>
      </w:r>
      <w:proofErr w:type="spellStart"/>
      <w:r>
        <w:t>MSC.Nastan</w:t>
      </w:r>
      <w:proofErr w:type="spellEnd"/>
      <w:r>
        <w:t xml:space="preserve">, </w:t>
      </w:r>
      <w:proofErr w:type="spellStart"/>
      <w:r>
        <w:t>MSC.Marc</w:t>
      </w:r>
      <w:proofErr w:type="spellEnd"/>
      <w:r>
        <w:t xml:space="preserve">, </w:t>
      </w:r>
      <w:proofErr w:type="spellStart"/>
      <w:r>
        <w:t>MSC.Dytran</w:t>
      </w:r>
      <w:proofErr w:type="spellEnd"/>
      <w:r>
        <w:t xml:space="preserve">. Obsługuje także programy obliczeniowe innych producentów oprogramowania. Umożliwia dostosowanie funkcjonalności zgodnie z potrzebami użytkownika dzięki otwartej architekturze. Program zawiera także zaawansowane narzędzia do modelowania i obróbki powierzchni pozwalające na tworzenie modelu elementów skończonych od podstaw. Intuicyjne i przejrzyste menu </w:t>
      </w:r>
      <w:proofErr w:type="spellStart"/>
      <w:r>
        <w:t>Patrana</w:t>
      </w:r>
      <w:proofErr w:type="spellEnd"/>
      <w:r>
        <w:t xml:space="preserve"> jest pogrupowane w moduły prowadzące przez cały proces symulacji. Zawiera manager pozwalający w prosty sposób tworzyć, modyfikować, wyświetlać i usuwać obciążenia, warunki brzegowe, własności elementów i materiałów czy przypadki obciążeń. Daje możliwość bezpośredniego uruchomienia analizy z poziomu programu, śledzenia postępu rozwiązania zadania oraz wczytania pliku z wynikami. Jako </w:t>
      </w:r>
      <w:proofErr w:type="spellStart"/>
      <w:r>
        <w:t>post¬procesor</w:t>
      </w:r>
      <w:proofErr w:type="spellEnd"/>
      <w:r>
        <w:t xml:space="preserve"> pozwala na wyświetlanie </w:t>
      </w:r>
      <w:r>
        <w:lastRenderedPageBreak/>
        <w:t xml:space="preserve">wyników jako map kolorów, izolinii, wektorów. Pozwala na generowanie raportów, tworzenie szablonów. Wyświetla deformacje modelu, pozwala na operacje na wynikach dla różnych przypadków obciążeń np. </w:t>
      </w:r>
      <w:proofErr w:type="spellStart"/>
      <w:r>
        <w:t>superpozycjonowanie</w:t>
      </w:r>
      <w:proofErr w:type="spellEnd"/>
      <w:r>
        <w:t>.</w:t>
      </w:r>
    </w:p>
    <w:p w:rsidR="002373FB" w:rsidRDefault="002373FB" w:rsidP="00931CE4">
      <w:pPr>
        <w:spacing w:after="0" w:line="240" w:lineRule="auto"/>
        <w:jc w:val="both"/>
      </w:pPr>
      <w:r>
        <w:t xml:space="preserve">Moduł </w:t>
      </w:r>
      <w:proofErr w:type="spellStart"/>
      <w:r>
        <w:t>Dytran</w:t>
      </w:r>
      <w:proofErr w:type="spellEnd"/>
      <w:r>
        <w:t xml:space="preserve"> jest pakietem służącym do modelowania </w:t>
      </w:r>
      <w:proofErr w:type="spellStart"/>
      <w:r>
        <w:t>szybko¬zmiennych</w:t>
      </w:r>
      <w:proofErr w:type="spellEnd"/>
      <w:r>
        <w:t>, silnie nieliniowych zjawisk dynamicznych. Algorytm rozwiązywania oparty jest na sformułowaniu typu „</w:t>
      </w:r>
      <w:proofErr w:type="spellStart"/>
      <w:r>
        <w:t>explicit</w:t>
      </w:r>
      <w:proofErr w:type="spellEnd"/>
      <w:r>
        <w:t xml:space="preserve">” (całkowanie jawne po czasie). </w:t>
      </w:r>
      <w:proofErr w:type="spellStart"/>
      <w:r>
        <w:t>Dytran</w:t>
      </w:r>
      <w:proofErr w:type="spellEnd"/>
      <w:r>
        <w:t xml:space="preserve"> stosowany jest wszędzie tam, gdzie wymagana jest znajomość dynamicznej odpowiedzi ciał stałych, złożonych struktur oraz cieczy (symulacje przebiegu fali uderzeniowej podczas wybuchu, zderzenia obiektów, symulacje procesów plastycznego formowania stali, itp.). Zaletą oprogramowania jest możliwość monitorowania przemieszczeń, deformacji oraz </w:t>
      </w:r>
      <w:proofErr w:type="spellStart"/>
      <w:r>
        <w:t>naprężeń</w:t>
      </w:r>
      <w:proofErr w:type="spellEnd"/>
      <w:r>
        <w:t xml:space="preserve"> z wysoką precyzją. Zaawansowana technologia modelowania materiałów oraz rozbudowane możliwości określania warunków brzegowych i obciążeń powodują, że </w:t>
      </w:r>
      <w:proofErr w:type="spellStart"/>
      <w:r>
        <w:t>Dytran</w:t>
      </w:r>
      <w:proofErr w:type="spellEnd"/>
      <w:r>
        <w:t xml:space="preserve"> ma możliwość łączenia złożonych problemów interakcji ciał stałych i płynów wraz z dużymi deformacjami w jedną, ciągłą analizę prowadzącą do wyników niezwykle szybko i prosto.</w:t>
      </w:r>
    </w:p>
    <w:p w:rsidR="002373FB" w:rsidRDefault="002373FB" w:rsidP="00931CE4">
      <w:pPr>
        <w:spacing w:after="0" w:line="240" w:lineRule="auto"/>
        <w:jc w:val="both"/>
      </w:pPr>
      <w:r>
        <w:t xml:space="preserve">Moduł Adams jest najczęściej na świecie wykorzystywanym oprogramowaniem do symulacji systemów mechanicznych. Pozwala na budowę i testowanie wirtualnych prototypów poprzez realistyczną zarówno wizualną, jak i matematyczną symulację pełnego zachowania złożonych projektów systemów mechanicznych. Adams uzupełnia program </w:t>
      </w:r>
      <w:proofErr w:type="spellStart"/>
      <w:r>
        <w:t>Nastran</w:t>
      </w:r>
      <w:proofErr w:type="spellEnd"/>
      <w:r>
        <w:t xml:space="preserve"> jako technologia wspierająca rozwiązanie symulacyjne MSC </w:t>
      </w:r>
      <w:proofErr w:type="spellStart"/>
      <w:r>
        <w:t>SimEnterprise</w:t>
      </w:r>
      <w:proofErr w:type="spellEnd"/>
      <w:r>
        <w:t xml:space="preserve">. Kompletny system symulacyjny </w:t>
      </w:r>
      <w:proofErr w:type="spellStart"/>
      <w:r>
        <w:t>SimEnterprise</w:t>
      </w:r>
      <w:proofErr w:type="spellEnd"/>
      <w:r>
        <w:t xml:space="preserve"> służący do przeprowadzania zaawansowanej analizy inżynieryjnej dostarcza najpełniejszego portfolio wszelkich dostępnych, zintegrowanych technik symulacyjnych i analitycznych. Ostateczna wersja oprogramowania Adams wspomaga łączną symulację ruchowo – strukturalną. Dwukierunkową integrację z MD </w:t>
      </w:r>
      <w:proofErr w:type="spellStart"/>
      <w:r>
        <w:t>Nastran</w:t>
      </w:r>
      <w:proofErr w:type="spellEnd"/>
      <w:r>
        <w:t xml:space="preserve"> można wykorzystać do eksportowania modeli z programu Adams do programu </w:t>
      </w:r>
      <w:proofErr w:type="spellStart"/>
      <w:r>
        <w:t>Nastran</w:t>
      </w:r>
      <w:proofErr w:type="spellEnd"/>
      <w:r>
        <w:t xml:space="preserve"> w celu uzyskania dokładniejszej analizy NVH lub odzyskania poziomu naprężenia i dalszego wykorzystania wraz z kalkulacją poziomu żywotności/uszkodzenia.</w:t>
      </w:r>
    </w:p>
    <w:p w:rsidR="002373FB" w:rsidRDefault="002373FB" w:rsidP="00931CE4">
      <w:pPr>
        <w:spacing w:after="0" w:line="240" w:lineRule="auto"/>
        <w:jc w:val="both"/>
      </w:pPr>
      <w:r>
        <w:t xml:space="preserve">Moduł Adams/Car stwarza zespołom inżynierów możliwość szybkiego konstruowania i testowania funkcjonalnych, wirtualnych prototypów całych pojazdów oraz ich podsystemów. Pomaga to zredukować czas i koszty, obniżyć poziom ryzyka w procesie tworzenia oraz poprawia jakość nowych projektów pojazdów. W środowisku symulacyjnym Adams/Car zespoły inżynierów specjalizujących się w dziedzinie motoryzacji mogą poddawać próbom swoje projekty pojazdów w różnych warunkach drogowych, przeprowadzając identyczne testy jak w laboratorium lub na drodze, jednak w o wiele krótszym czasie. Pakiet Adams/Car obejmuje cały szereg funkcjonalnych modułów służących do przeprowadzania </w:t>
      </w:r>
      <w:proofErr w:type="spellStart"/>
      <w:r>
        <w:t>multidyscyplinarnych</w:t>
      </w:r>
      <w:proofErr w:type="spellEnd"/>
      <w:r>
        <w:t xml:space="preserve"> analiz. </w:t>
      </w:r>
    </w:p>
    <w:p w:rsidR="002373FB" w:rsidRDefault="002373FB" w:rsidP="00931CE4">
      <w:pPr>
        <w:spacing w:after="0" w:line="240" w:lineRule="auto"/>
        <w:jc w:val="both"/>
      </w:pPr>
      <w:r>
        <w:t xml:space="preserve">Ze względu na specyfikę zamówienia i niemożność opisania przedmiotu zamówienia za pomocą dostatecznie dokładnych parametrów i funkcjonalności, Zamawiający używa nazw własnych i znaków towarowych z zastrzeżeniem, że dopuszcza składanie ofert równoważnych. Specyfika zamówienia polega na wyposażeniu sali wykładowej w specjalistyczne i unikalne oprogramowanie do prowadzenia zajęć dydaktycznych z: Komputerowego wspomagania projektowania, Teorii maszyn i mechanizmów, Podstaw analizy modalnej, Zintegrowanych systemów CAE, Modelowania i symulacji ruchu maszyn i mechanizmów przez nauczycieli akademickich w oparciu o oprogramowanie </w:t>
      </w:r>
      <w:proofErr w:type="spellStart"/>
      <w:r>
        <w:t>University</w:t>
      </w:r>
      <w:proofErr w:type="spellEnd"/>
      <w:r>
        <w:t xml:space="preserve"> MD FEA i Motion Bundle w wersji edukacyjnej, Zamawiający zamierza zakupić, łącznie 1 licencję (50 stanowisk) na w/w oprogramowania, bądź oprogramowanie równoważne, zapewniające ten sam zakres funkcji i możliwość kształcenia studentów z w/w przedmiotu.</w:t>
      </w:r>
    </w:p>
    <w:p w:rsidR="002373FB" w:rsidRDefault="002373FB" w:rsidP="00931CE4">
      <w:pPr>
        <w:spacing w:after="0" w:line="240" w:lineRule="auto"/>
        <w:jc w:val="both"/>
      </w:pPr>
      <w:r>
        <w:t>Dostarczone oprogramowanie musi udostępnić możliwość instalacji nieograniczonej ilość bezpłatnych licencji studenckich.</w:t>
      </w:r>
    </w:p>
    <w:p w:rsidR="002373FB" w:rsidRDefault="002373FB" w:rsidP="00931CE4">
      <w:pPr>
        <w:spacing w:after="0" w:line="240" w:lineRule="auto"/>
        <w:jc w:val="both"/>
        <w:rPr>
          <w:u w:val="single"/>
        </w:rPr>
      </w:pPr>
      <w:r>
        <w:t xml:space="preserve">W przypadku zaproponowania oprogramowania równoważnego do </w:t>
      </w:r>
      <w:proofErr w:type="spellStart"/>
      <w:r>
        <w:t>University</w:t>
      </w:r>
      <w:proofErr w:type="spellEnd"/>
      <w:r>
        <w:t xml:space="preserve"> MD FEA i Motion Bundle, wymagane jest przeszkolenie, na koszt Wykonawcy, 4 osób wskazanych przez Zamawiającego na poziomie odpowiadającym szkoleniu zaawansowanemu wraz prowadzeniem analiz kinematycznych, dynamicznych i wytrzymałościowych, w terminie do 30 dni od podpisania </w:t>
      </w:r>
      <w:r>
        <w:lastRenderedPageBreak/>
        <w:t xml:space="preserve">umowy sprzedaży licencji. </w:t>
      </w:r>
      <w:r w:rsidRPr="002373FB">
        <w:rPr>
          <w:u w:val="single"/>
        </w:rPr>
        <w:t>Dostarczone, równoważne oprogramowanie, musi udostępnić możliwość instalacji nieograniczonej ilość bezpłatnych licencji studenckich.</w:t>
      </w:r>
    </w:p>
    <w:p w:rsidR="002373FB" w:rsidRDefault="002373FB" w:rsidP="00931CE4">
      <w:pPr>
        <w:spacing w:after="0" w:line="240" w:lineRule="auto"/>
        <w:jc w:val="both"/>
        <w:rPr>
          <w:u w:val="single"/>
        </w:rPr>
      </w:pPr>
    </w:p>
    <w:p w:rsidR="002373FB" w:rsidRPr="00931CE4" w:rsidRDefault="00E33613" w:rsidP="00931CE4">
      <w:pPr>
        <w:pStyle w:val="Nagwek2"/>
        <w:spacing w:before="0" w:line="240" w:lineRule="auto"/>
        <w:jc w:val="both"/>
        <w:rPr>
          <w:b/>
          <w:u w:val="single"/>
        </w:rPr>
      </w:pPr>
      <w:r w:rsidRPr="00931CE4">
        <w:rPr>
          <w:b/>
          <w:u w:val="single"/>
        </w:rPr>
        <w:t xml:space="preserve">Zadanie </w:t>
      </w:r>
      <w:r w:rsidR="004E0447" w:rsidRPr="00931CE4">
        <w:rPr>
          <w:b/>
          <w:u w:val="single"/>
        </w:rPr>
        <w:t>7</w:t>
      </w:r>
      <w:r w:rsidRPr="00931CE4">
        <w:rPr>
          <w:b/>
          <w:u w:val="single"/>
        </w:rPr>
        <w:t xml:space="preserve"> - </w:t>
      </w:r>
      <w:r w:rsidR="00455C89" w:rsidRPr="00931CE4">
        <w:rPr>
          <w:b/>
          <w:u w:val="single"/>
        </w:rPr>
        <w:t xml:space="preserve">Program do modelowania 3D, tworzenia złożeń konstrukcji </w:t>
      </w:r>
      <w:proofErr w:type="spellStart"/>
      <w:r w:rsidR="00455C89" w:rsidRPr="00931CE4">
        <w:rPr>
          <w:b/>
          <w:u w:val="single"/>
        </w:rPr>
        <w:t>blachowych</w:t>
      </w:r>
      <w:proofErr w:type="spellEnd"/>
      <w:r w:rsidR="00455C89" w:rsidRPr="00931CE4">
        <w:rPr>
          <w:b/>
          <w:u w:val="single"/>
        </w:rPr>
        <w:t xml:space="preserve">, konstrukcji spawanych, tworzenia form wtryskowych, zaawansowanego modelowania powierzchniowego oraz tworzenia pełnej dokumentacji rysunkowej – </w:t>
      </w:r>
      <w:r w:rsidR="00F132EB" w:rsidRPr="00931CE4">
        <w:rPr>
          <w:b/>
          <w:u w:val="single"/>
        </w:rPr>
        <w:t>200 licencji + 200 Student Access.</w:t>
      </w:r>
    </w:p>
    <w:p w:rsidR="00455C89" w:rsidRDefault="00455C89" w:rsidP="00931CE4">
      <w:pPr>
        <w:spacing w:after="0" w:line="240" w:lineRule="auto"/>
        <w:jc w:val="both"/>
      </w:pPr>
    </w:p>
    <w:p w:rsidR="00455C89" w:rsidRDefault="00455C89" w:rsidP="00931CE4">
      <w:pPr>
        <w:spacing w:after="0" w:line="240" w:lineRule="auto"/>
        <w:jc w:val="both"/>
      </w:pPr>
      <w:r>
        <w:t xml:space="preserve">Zakup licencji jest rozbudową posiadanego przez Zamawiającego systemu </w:t>
      </w:r>
      <w:proofErr w:type="spellStart"/>
      <w:r>
        <w:t>SolidWorksEducation</w:t>
      </w:r>
      <w:proofErr w:type="spellEnd"/>
      <w:r>
        <w:t xml:space="preserve"> Edition w najnowszej wersji Campus Pack 1 o 200 licencji + 200 Student Access + możliwość certyfikacji-bez ograniczenia czasowego - usługa jednorocznej opieki technicznej (w pierwszym roku obowiązkowa).</w:t>
      </w:r>
    </w:p>
    <w:p w:rsidR="00455C89" w:rsidRDefault="00455C89" w:rsidP="00931CE4">
      <w:pPr>
        <w:spacing w:after="0" w:line="240" w:lineRule="auto"/>
        <w:jc w:val="both"/>
      </w:pPr>
      <w:r>
        <w:t xml:space="preserve">Zakup kolejnych licencji programu </w:t>
      </w:r>
      <w:proofErr w:type="spellStart"/>
      <w:r>
        <w:t>SolidWorks</w:t>
      </w:r>
      <w:proofErr w:type="spellEnd"/>
      <w:r>
        <w:t>(obecnie Instytut Mechaniki i PKM posiada 10 licencji) jest konieczny ze względu na prowadzenie wielu zajęć z wykorzystaniem tego pakietu. W przygotowywaniu programów nauczania na Wydziale Inżynierii Mechanicznej i Informatyki, uczestniczyli między innymi przedstawiciele przemysłu, gdzie ten pakiet inżynierski jest wykorzystywany.</w:t>
      </w:r>
    </w:p>
    <w:p w:rsidR="00455C89" w:rsidRDefault="00455C89" w:rsidP="00931CE4">
      <w:pPr>
        <w:spacing w:after="0" w:line="240" w:lineRule="auto"/>
        <w:jc w:val="both"/>
      </w:pPr>
      <w:proofErr w:type="spellStart"/>
      <w:r>
        <w:t>SolidWorks</w:t>
      </w:r>
      <w:proofErr w:type="spellEnd"/>
      <w:r>
        <w:t xml:space="preserve"> to aplikacja oferująca uniwersalny zestaw narzędzi do modelowania powierzchniowego i bryłowego 3D przeznaczona dla konstruktorów. Niezwykle intuicyjna obsługa programu, bazująca na znanych z systemu Windows mechanizmach „przeciągnij i upuść”, ogromna liczba narzędzi i modułów wspomagających, sprawia, iż program ten doskonale ułatwia pracę projektanta. Wielką zaletą programu jest również możliwość wymiany plików z wieloma aplikacjami zewnętrznymi CAD/CAM/CAE, co umożliwia współpracę w ramach nawet największych zespołów projektowych. </w:t>
      </w:r>
      <w:proofErr w:type="spellStart"/>
      <w:r>
        <w:t>SolidWorks</w:t>
      </w:r>
      <w:proofErr w:type="spellEnd"/>
      <w:r>
        <w:t xml:space="preserve"> umożliwia między innymi:</w:t>
      </w:r>
    </w:p>
    <w:p w:rsidR="00455C89" w:rsidRDefault="00455C89" w:rsidP="00931CE4">
      <w:pPr>
        <w:spacing w:after="0" w:line="240" w:lineRule="auto"/>
        <w:jc w:val="both"/>
      </w:pPr>
      <w:r>
        <w:t>•</w:t>
      </w:r>
      <w:r>
        <w:tab/>
        <w:t>tworzenie elementów bryłowych oraz powierzchniowych,</w:t>
      </w:r>
    </w:p>
    <w:p w:rsidR="00455C89" w:rsidRDefault="00455C89" w:rsidP="00931CE4">
      <w:pPr>
        <w:spacing w:after="0" w:line="240" w:lineRule="auto"/>
        <w:jc w:val="both"/>
      </w:pPr>
      <w:r>
        <w:t>•</w:t>
      </w:r>
      <w:r>
        <w:tab/>
        <w:t>przygotowanie modelu formy wtryskowej na podstawie szkicu koncepcyjnego,</w:t>
      </w:r>
    </w:p>
    <w:p w:rsidR="00455C89" w:rsidRDefault="00455C89" w:rsidP="00931CE4">
      <w:pPr>
        <w:spacing w:after="0" w:line="240" w:lineRule="auto"/>
        <w:jc w:val="both"/>
      </w:pPr>
      <w:r>
        <w:t>•</w:t>
      </w:r>
      <w:r>
        <w:tab/>
        <w:t>tworzenie złożeń części,</w:t>
      </w:r>
    </w:p>
    <w:p w:rsidR="00455C89" w:rsidRDefault="00455C89" w:rsidP="00931CE4">
      <w:pPr>
        <w:spacing w:after="0" w:line="240" w:lineRule="auto"/>
        <w:jc w:val="both"/>
      </w:pPr>
      <w:r>
        <w:t>•</w:t>
      </w:r>
      <w:r>
        <w:tab/>
        <w:t>symulację rozpływu masy w formie wtryskowej,</w:t>
      </w:r>
    </w:p>
    <w:p w:rsidR="00455C89" w:rsidRDefault="00455C89" w:rsidP="00931CE4">
      <w:pPr>
        <w:spacing w:after="0" w:line="240" w:lineRule="auto"/>
        <w:jc w:val="both"/>
      </w:pPr>
      <w:r>
        <w:t>•</w:t>
      </w:r>
      <w:r>
        <w:tab/>
        <w:t>obliczenia wytrzymałościowe,</w:t>
      </w:r>
    </w:p>
    <w:p w:rsidR="00455C89" w:rsidRDefault="00455C89" w:rsidP="00931CE4">
      <w:pPr>
        <w:spacing w:after="0" w:line="240" w:lineRule="auto"/>
        <w:jc w:val="both"/>
      </w:pPr>
      <w:r>
        <w:t>•</w:t>
      </w:r>
      <w:r>
        <w:tab/>
      </w:r>
      <w:proofErr w:type="spellStart"/>
      <w:r>
        <w:t>renderowanie</w:t>
      </w:r>
      <w:proofErr w:type="spellEnd"/>
      <w:r>
        <w:t xml:space="preserve"> elementów,</w:t>
      </w:r>
    </w:p>
    <w:p w:rsidR="00455C89" w:rsidRDefault="00455C89" w:rsidP="00931CE4">
      <w:pPr>
        <w:spacing w:after="0" w:line="240" w:lineRule="auto"/>
        <w:jc w:val="both"/>
      </w:pPr>
      <w:r>
        <w:t>•</w:t>
      </w:r>
      <w:r>
        <w:tab/>
        <w:t>tworzenie dokumentacji technicznej.</w:t>
      </w:r>
    </w:p>
    <w:p w:rsidR="00455C89" w:rsidRDefault="00455C89" w:rsidP="00931CE4">
      <w:pPr>
        <w:spacing w:after="0" w:line="240" w:lineRule="auto"/>
        <w:jc w:val="both"/>
      </w:pPr>
      <w:r>
        <w:t xml:space="preserve">Program </w:t>
      </w:r>
      <w:proofErr w:type="spellStart"/>
      <w:r>
        <w:t>SolidWorks</w:t>
      </w:r>
      <w:proofErr w:type="spellEnd"/>
      <w:r>
        <w:t xml:space="preserve"> w swojej szerokiej gamie modułów ułatwiających pracę pozwala na rozwiązanie m.in. problemów napięć liniowych, </w:t>
      </w:r>
      <w:proofErr w:type="spellStart"/>
      <w:r>
        <w:t>naprężeń</w:t>
      </w:r>
      <w:proofErr w:type="spellEnd"/>
      <w:r>
        <w:t xml:space="preserve">, dyslokacji, termiki, optymalizacji projektu. </w:t>
      </w:r>
      <w:proofErr w:type="spellStart"/>
      <w:r>
        <w:t>SolidWorks</w:t>
      </w:r>
      <w:proofErr w:type="spellEnd"/>
      <w:r>
        <w:t xml:space="preserve"> oferuje szerokie spektrum wyspecjalizowanych narzędzi do analiz pomagających inżynierom na wirtualne testowania oraz analizowanie skomplikowanych części i zespołów. Używany w przemyśle mechanicznym, elektromechanicznym, lotniczym, transportowym, medycznym czy budowlanym. </w:t>
      </w:r>
      <w:proofErr w:type="spellStart"/>
      <w:r>
        <w:t>SolidWorks</w:t>
      </w:r>
      <w:proofErr w:type="spellEnd"/>
      <w:r>
        <w:t xml:space="preserve"> pomaga skrócić czas tworzenia projektu, zredukować koszty testów, poprawić jakość produktu, zwiększyć dochodowość oraz przyspieszyć wprowadzenie produktu na rynek.</w:t>
      </w:r>
    </w:p>
    <w:p w:rsidR="00455C89" w:rsidRDefault="00455C89" w:rsidP="00931CE4">
      <w:pPr>
        <w:spacing w:after="0" w:line="240" w:lineRule="auto"/>
        <w:jc w:val="both"/>
      </w:pPr>
      <w:r>
        <w:t xml:space="preserve">Ze względu na specyfikę zamówienia i niemożność opisania przedmiotu zamówienia za pomocą dostatecznie dokładnych parametrów i funkcjonalności, Zamawiający używa nazw własnych i znaków towarowych z zastrzeżeniem, że dopuszcza składanie ofert równoważnych. Specyfika zamówienia polega na wyposażeniu sali wykładowej w specjalistyczne i unikalne oprogramowanie do prowadzenia zajęć dydaktycznych z: Komputerowego wspomagania obliczeń inżynierskich, Badania symulacyjnych urządzeń </w:t>
      </w:r>
      <w:proofErr w:type="spellStart"/>
      <w:r>
        <w:t>mechatronicznych</w:t>
      </w:r>
      <w:proofErr w:type="spellEnd"/>
      <w:r>
        <w:t xml:space="preserve">, Technik modelowania mechanizmów, Pracy przejściowej, Analizy modalnej przez przeszkolonych nauczycieli akademickich w oparciu o oprogramowanie </w:t>
      </w:r>
      <w:proofErr w:type="spellStart"/>
      <w:r>
        <w:t>SolidWorks</w:t>
      </w:r>
      <w:proofErr w:type="spellEnd"/>
      <w:r>
        <w:t xml:space="preserve"> </w:t>
      </w:r>
      <w:proofErr w:type="spellStart"/>
      <w:r>
        <w:t>Education</w:t>
      </w:r>
      <w:proofErr w:type="spellEnd"/>
      <w:r>
        <w:t xml:space="preserve"> Edition w wersji edukacyjnej. Program </w:t>
      </w:r>
      <w:proofErr w:type="spellStart"/>
      <w:r>
        <w:t>SolidWorks</w:t>
      </w:r>
      <w:proofErr w:type="spellEnd"/>
      <w:r>
        <w:t xml:space="preserve"> wykorzystywany jest także przy realizacji prac inżynierskich i magisterskich oraz w ramach działalności Koła Naukowego </w:t>
      </w:r>
      <w:r>
        <w:lastRenderedPageBreak/>
        <w:t xml:space="preserve">Komputerowego projektowania urządzeń </w:t>
      </w:r>
      <w:proofErr w:type="spellStart"/>
      <w:r>
        <w:t>mechatronicznych</w:t>
      </w:r>
      <w:proofErr w:type="spellEnd"/>
      <w:r>
        <w:t xml:space="preserve"> i maszyn. Zamawiający zamierza zakupić, łącznie 1 pakiet licencji (200 licencji + 200 Student Access + możliwość certyfikacji) na w/w oprogramowania, bądź oprogramowanie równoważne, zapewniające ten sam zakres funkcji i możliwość kształcenia studentów z w/w przedmiotu.</w:t>
      </w:r>
    </w:p>
    <w:p w:rsidR="00455C89" w:rsidRDefault="00455C89" w:rsidP="00931CE4">
      <w:pPr>
        <w:spacing w:after="0" w:line="240" w:lineRule="auto"/>
        <w:jc w:val="both"/>
      </w:pPr>
      <w:r>
        <w:t xml:space="preserve">W przypadku zaproponowania oprogramowania równoważnego do </w:t>
      </w:r>
      <w:proofErr w:type="spellStart"/>
      <w:r>
        <w:t>SolidWorks</w:t>
      </w:r>
      <w:proofErr w:type="spellEnd"/>
      <w:r>
        <w:t xml:space="preserve"> </w:t>
      </w:r>
      <w:proofErr w:type="spellStart"/>
      <w:r>
        <w:t>Education</w:t>
      </w:r>
      <w:proofErr w:type="spellEnd"/>
      <w:r>
        <w:t xml:space="preserve"> Edition, wymagane jest dostosowanie obecnie posiadanych stanowisk do współpracy z nowym oprogramowaniem i przeszkolenie</w:t>
      </w:r>
      <w:r w:rsidR="00F132EB">
        <w:t xml:space="preserve">, na koszt Wykonawcy, </w:t>
      </w:r>
      <w:r>
        <w:t>4 osób wskazanych przez Zamawiającego na poziomie odpowiadającym szkoleniu zaawansowanemu z modelowania części, złożeń, prowadzenia analiz i optymalizacji, w terminie do 30 dni od podpisania umowy sprzedaży licencji.</w:t>
      </w:r>
    </w:p>
    <w:p w:rsidR="00F132EB" w:rsidRDefault="00F132EB" w:rsidP="00931CE4">
      <w:pPr>
        <w:spacing w:after="0" w:line="240" w:lineRule="auto"/>
        <w:jc w:val="both"/>
      </w:pPr>
    </w:p>
    <w:p w:rsidR="00F132EB" w:rsidRPr="00931CE4" w:rsidRDefault="00E33613" w:rsidP="00931CE4">
      <w:pPr>
        <w:pStyle w:val="Nagwek2"/>
        <w:spacing w:before="0" w:line="240" w:lineRule="auto"/>
        <w:rPr>
          <w:b/>
          <w:u w:val="single"/>
        </w:rPr>
      </w:pPr>
      <w:bookmarkStart w:id="0" w:name="_GoBack"/>
      <w:r w:rsidRPr="00931CE4">
        <w:rPr>
          <w:b/>
          <w:u w:val="single"/>
        </w:rPr>
        <w:t xml:space="preserve">Zadanie </w:t>
      </w:r>
      <w:r w:rsidR="004E0447" w:rsidRPr="00931CE4">
        <w:rPr>
          <w:b/>
          <w:u w:val="single"/>
        </w:rPr>
        <w:t>8</w:t>
      </w:r>
      <w:r w:rsidRPr="00931CE4">
        <w:rPr>
          <w:b/>
          <w:u w:val="single"/>
        </w:rPr>
        <w:t xml:space="preserve"> - </w:t>
      </w:r>
      <w:r w:rsidR="005C1CE5" w:rsidRPr="00931CE4">
        <w:rPr>
          <w:b/>
          <w:u w:val="single"/>
        </w:rPr>
        <w:t>Oprogramowanie do projektowania, wizualizacji i symulacji procesu projektowania produktów – 20 stanowisk.</w:t>
      </w:r>
    </w:p>
    <w:bookmarkEnd w:id="0"/>
    <w:p w:rsidR="005C1CE5" w:rsidRDefault="005C1CE5" w:rsidP="00931CE4">
      <w:pPr>
        <w:spacing w:after="0" w:line="240" w:lineRule="auto"/>
        <w:jc w:val="both"/>
      </w:pPr>
    </w:p>
    <w:p w:rsidR="005C1CE5" w:rsidRDefault="005C1CE5" w:rsidP="00931CE4">
      <w:pPr>
        <w:spacing w:after="0" w:line="240" w:lineRule="auto"/>
        <w:jc w:val="both"/>
      </w:pPr>
      <w:r>
        <w:t xml:space="preserve">Zakup </w:t>
      </w:r>
      <w:proofErr w:type="spellStart"/>
      <w:r>
        <w:t>programuAbaqus</w:t>
      </w:r>
      <w:proofErr w:type="spellEnd"/>
      <w:r>
        <w:t xml:space="preserve">/CAE - SIMULIA </w:t>
      </w:r>
      <w:proofErr w:type="spellStart"/>
      <w:r>
        <w:t>AcademicTeaching</w:t>
      </w:r>
      <w:proofErr w:type="spellEnd"/>
      <w:r>
        <w:t xml:space="preserve"> Suite (Q9T) licencja bez ograniczenia czasowego na 20 stanowisk - usługa jednorocznej opieki technicznej (w pierwszym roku obowiązkowa).</w:t>
      </w:r>
    </w:p>
    <w:p w:rsidR="005C1CE5" w:rsidRDefault="005C1CE5" w:rsidP="00931CE4">
      <w:pPr>
        <w:spacing w:after="0" w:line="240" w:lineRule="auto"/>
        <w:jc w:val="both"/>
      </w:pPr>
      <w:r>
        <w:t xml:space="preserve">Zakup programu </w:t>
      </w:r>
      <w:proofErr w:type="spellStart"/>
      <w:r>
        <w:t>Abaqus</w:t>
      </w:r>
      <w:proofErr w:type="spellEnd"/>
      <w:r>
        <w:t>/CAE jest konieczny ze względu na prowadzenie zajęć oraz przeprowadzone szkolenie pracowników z obsługi programu z wykorzystaniem tego pakietu. W przygotowywaniu programów nauczania na Wydziale Inżynierii Mechanicznej i Informatyki, uczestniczyli między innymi przedstawiciele przemysłu, gdzie ten pakiet inżynierski jest wykorzystywany.</w:t>
      </w:r>
    </w:p>
    <w:p w:rsidR="005C1CE5" w:rsidRDefault="005C1CE5" w:rsidP="00931CE4">
      <w:pPr>
        <w:spacing w:after="0" w:line="240" w:lineRule="auto"/>
        <w:jc w:val="both"/>
      </w:pPr>
      <w:proofErr w:type="spellStart"/>
      <w:r>
        <w:t>Abaqus</w:t>
      </w:r>
      <w:proofErr w:type="spellEnd"/>
      <w:r>
        <w:t>/CAE jest pakietem programów służących do rozwiązywania skomplikowanych zagadnień inżynierskich. Program ten jest powszechnie używany w wielu gałęziach przemysłu (</w:t>
      </w:r>
      <w:proofErr w:type="spellStart"/>
      <w:r>
        <w:t>najczęście</w:t>
      </w:r>
      <w:proofErr w:type="spellEnd"/>
      <w:r>
        <w:t xml:space="preserve"> w przemyśle maszynowym i samochodowym, stoczniowym i lotniczym) – wszędzie tam, gdzie konieczna jest rzetelna ocena wytrzymałościowa elementów maszyn lub konstrukcji. Główną zaletą programu </w:t>
      </w:r>
      <w:proofErr w:type="spellStart"/>
      <w:r>
        <w:t>Abaqus</w:t>
      </w:r>
      <w:proofErr w:type="spellEnd"/>
      <w:r>
        <w:t xml:space="preserve">/CAE jest jego modularna budowa. Architektura programu oparta na koncepcji bibliotek, co umożliwia łączenie dowolnych elementów. Użytkownik może tworzyć dowolne kombinacje elementów skończonych, materiałów, procedur analizy i sekwencji obciążeń. Biblioteka elementów skończonych programu </w:t>
      </w:r>
      <w:proofErr w:type="spellStart"/>
      <w:r>
        <w:t>Abaqus</w:t>
      </w:r>
      <w:proofErr w:type="spellEnd"/>
      <w:r>
        <w:t xml:space="preserve">/CAE pozwala na modelowanie dowolnie skomplikowanych geometrii układów. Natomiast biblioteka procedur analizy oferuje możliwości analizy stanu </w:t>
      </w:r>
      <w:proofErr w:type="spellStart"/>
      <w:r>
        <w:t>naprężeń</w:t>
      </w:r>
      <w:proofErr w:type="spellEnd"/>
      <w:r>
        <w:t xml:space="preserve">, odkształceń i przemieszczeń nieliniowych procesów i również ustalonego i nieustalonego przepływu ciepła, transportu masy, analizy akustyczne i piezoelektryczne. Prowadzone analizy te mogą być niezależnie, sekwencyjnie całkowicie sprzężone z analizą </w:t>
      </w:r>
      <w:proofErr w:type="spellStart"/>
      <w:r>
        <w:t>naprężeń</w:t>
      </w:r>
      <w:proofErr w:type="spellEnd"/>
      <w:r>
        <w:t>.</w:t>
      </w:r>
    </w:p>
    <w:p w:rsidR="005C1CE5" w:rsidRDefault="005C1CE5" w:rsidP="00931CE4">
      <w:pPr>
        <w:spacing w:after="0" w:line="240" w:lineRule="auto"/>
        <w:jc w:val="both"/>
      </w:pPr>
      <w:r>
        <w:t xml:space="preserve">Ze względu na specyfikę zamówienia i niemożność opisania przedmiotu zamówienia za pomocą dostatecznie dokładnych parametrów i funkcjonalności, Zamawiający używa nazw własnych i znaków towarowych z zastrzeżeniem, że dopuszcza składanie ofert równoważnych. Specyfika zamówienia polega na wyposażeniu sali wykładowej w specjalistyczne i unikalne oprogramowanie do prowadzenia zajęć dydaktycznych z Metod programowania komputerowego, Komputerowego projektowania procesów technologicznych i Teorii procesów technologicznych przez przeszkolonych i certyfikowanych nauczycieli akademickich w oparciu o oprogramowanie </w:t>
      </w:r>
      <w:proofErr w:type="spellStart"/>
      <w:r>
        <w:t>Abaqus</w:t>
      </w:r>
      <w:proofErr w:type="spellEnd"/>
      <w:r>
        <w:t xml:space="preserve">/CAE - SIMULIA </w:t>
      </w:r>
      <w:proofErr w:type="spellStart"/>
      <w:r>
        <w:t>AcademicTeaching</w:t>
      </w:r>
      <w:proofErr w:type="spellEnd"/>
      <w:r>
        <w:t xml:space="preserve"> Suite w wersji edukacyjnej. System </w:t>
      </w:r>
      <w:proofErr w:type="spellStart"/>
      <w:r>
        <w:t>Abaqus</w:t>
      </w:r>
      <w:proofErr w:type="spellEnd"/>
      <w:r>
        <w:t xml:space="preserve"> wykorzystywany jest także przy realizacji prac inżynierskich, magisterskich i doktorskich. Ponadto system </w:t>
      </w:r>
      <w:proofErr w:type="spellStart"/>
      <w:r>
        <w:t>Abaqus</w:t>
      </w:r>
      <w:proofErr w:type="spellEnd"/>
      <w:r>
        <w:t xml:space="preserve"> jest stosowany przez największego pracodawcę w Częstochowie firmę TRW, która nieustannie potrzebuje specjalistów znających to oprogramowanie. Zamawiający zamierza zakupić, łącznie 20 stanowisk na w/w oprogramowania, bądź oprogramowanie równoważne, zapewniające ten sam zakres funkcji i możliwość kształcenia studentów z w/w przedmiotu.</w:t>
      </w:r>
    </w:p>
    <w:p w:rsidR="005C1CE5" w:rsidRDefault="005C1CE5" w:rsidP="00931CE4">
      <w:pPr>
        <w:spacing w:after="0" w:line="240" w:lineRule="auto"/>
        <w:jc w:val="both"/>
      </w:pPr>
      <w:r>
        <w:t xml:space="preserve">W przypadku zaproponowania oprogramowania równoważnego do </w:t>
      </w:r>
      <w:proofErr w:type="spellStart"/>
      <w:r>
        <w:t>Abaqus</w:t>
      </w:r>
      <w:proofErr w:type="spellEnd"/>
      <w:r>
        <w:t xml:space="preserve">/CAE - SIMULIA </w:t>
      </w:r>
      <w:proofErr w:type="spellStart"/>
      <w:r>
        <w:t>AcademicTeaching</w:t>
      </w:r>
      <w:proofErr w:type="spellEnd"/>
      <w:r>
        <w:t xml:space="preserve"> Suite, wymagane jest przeszkolenie, na koszt Wykonawcy, 4 osób wskazanych </w:t>
      </w:r>
      <w:r>
        <w:lastRenderedPageBreak/>
        <w:t>przez Zamawiającego na poziomie odpowiadającym szkoleniu zaawansowanemu z modelowania części, złożeń oraz prowadzenia analiz, w terminie do 30 dni od podpisania umowy sprzedaży licencji.</w:t>
      </w:r>
    </w:p>
    <w:p w:rsidR="00EE6114" w:rsidRDefault="00EE6114" w:rsidP="00931CE4">
      <w:pPr>
        <w:spacing w:after="0" w:line="240" w:lineRule="auto"/>
        <w:jc w:val="both"/>
      </w:pPr>
    </w:p>
    <w:sectPr w:rsidR="00EE6114" w:rsidSect="00935E44">
      <w:headerReference w:type="default" r:id="rId7"/>
      <w:pgSz w:w="11906" w:h="16838"/>
      <w:pgMar w:top="1417" w:right="1417" w:bottom="1417" w:left="1417"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4939" w:rsidRDefault="002D4939" w:rsidP="00935E44">
      <w:pPr>
        <w:spacing w:after="0" w:line="240" w:lineRule="auto"/>
      </w:pPr>
      <w:r>
        <w:separator/>
      </w:r>
    </w:p>
  </w:endnote>
  <w:endnote w:type="continuationSeparator" w:id="0">
    <w:p w:rsidR="002D4939" w:rsidRDefault="002D4939" w:rsidP="00935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4939" w:rsidRDefault="002D4939" w:rsidP="00935E44">
      <w:pPr>
        <w:spacing w:after="0" w:line="240" w:lineRule="auto"/>
      </w:pPr>
      <w:r>
        <w:separator/>
      </w:r>
    </w:p>
  </w:footnote>
  <w:footnote w:type="continuationSeparator" w:id="0">
    <w:p w:rsidR="002D4939" w:rsidRDefault="002D4939" w:rsidP="00935E4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E44" w:rsidRDefault="00935E44" w:rsidP="00935E44">
    <w:pPr>
      <w:pStyle w:val="Nagwek"/>
      <w:jc w:val="center"/>
    </w:pPr>
    <w:r>
      <w:rPr>
        <w:noProof/>
        <w:lang w:eastAsia="pl-PL"/>
      </w:rPr>
      <w:drawing>
        <wp:inline distT="0" distB="0" distL="0" distR="0" wp14:anchorId="5E66DFC3" wp14:editId="2BA32A23">
          <wp:extent cx="5753735" cy="116459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735" cy="1164590"/>
                  </a:xfrm>
                  <a:prstGeom prst="rect">
                    <a:avLst/>
                  </a:prstGeom>
                  <a:solidFill>
                    <a:srgbClr val="FFFFFF">
                      <a:alpha val="0"/>
                    </a:srgbClr>
                  </a:solidFill>
                  <a:ln>
                    <a:noFill/>
                  </a:ln>
                </pic:spPr>
              </pic:pic>
            </a:graphicData>
          </a:graphic>
        </wp:inline>
      </w:drawing>
    </w:r>
  </w:p>
  <w:p w:rsidR="00935E44" w:rsidRDefault="00935E44">
    <w:pPr>
      <w:pStyle w:val="Nagwek"/>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iotr Kupczak">
    <w15:presenceInfo w15:providerId="Windows Live" w15:userId="3d5974645f89fba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E44"/>
    <w:rsid w:val="001007F7"/>
    <w:rsid w:val="0022209E"/>
    <w:rsid w:val="002373FB"/>
    <w:rsid w:val="002D4939"/>
    <w:rsid w:val="00455C89"/>
    <w:rsid w:val="004A1C82"/>
    <w:rsid w:val="004D66FA"/>
    <w:rsid w:val="004E0447"/>
    <w:rsid w:val="004F0EF2"/>
    <w:rsid w:val="005B21FE"/>
    <w:rsid w:val="005C1CE5"/>
    <w:rsid w:val="00931CE4"/>
    <w:rsid w:val="00935E44"/>
    <w:rsid w:val="00BB4098"/>
    <w:rsid w:val="00BC4D26"/>
    <w:rsid w:val="00C419A9"/>
    <w:rsid w:val="00C77DC5"/>
    <w:rsid w:val="00E33613"/>
    <w:rsid w:val="00EE6114"/>
    <w:rsid w:val="00EF361D"/>
    <w:rsid w:val="00F132EB"/>
    <w:rsid w:val="00F16E89"/>
    <w:rsid w:val="00F271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2">
    <w:name w:val="heading 2"/>
    <w:basedOn w:val="Normalny"/>
    <w:next w:val="Normalny"/>
    <w:link w:val="Nagwek2Znak"/>
    <w:uiPriority w:val="9"/>
    <w:unhideWhenUsed/>
    <w:qFormat/>
    <w:rsid w:val="00F271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935E4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35E44"/>
  </w:style>
  <w:style w:type="paragraph" w:styleId="Stopka">
    <w:name w:val="footer"/>
    <w:basedOn w:val="Normalny"/>
    <w:link w:val="StopkaZnak"/>
    <w:uiPriority w:val="99"/>
    <w:unhideWhenUsed/>
    <w:rsid w:val="00935E4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35E44"/>
  </w:style>
  <w:style w:type="character" w:customStyle="1" w:styleId="Nagwek2Znak">
    <w:name w:val="Nagłówek 2 Znak"/>
    <w:basedOn w:val="Domylnaczcionkaakapitu"/>
    <w:link w:val="Nagwek2"/>
    <w:uiPriority w:val="9"/>
    <w:rsid w:val="00F2711B"/>
    <w:rPr>
      <w:rFonts w:asciiTheme="majorHAnsi" w:eastAsiaTheme="majorEastAsia" w:hAnsiTheme="majorHAnsi" w:cstheme="majorBidi"/>
      <w:color w:val="2E74B5" w:themeColor="accent1" w:themeShade="BF"/>
      <w:sz w:val="26"/>
      <w:szCs w:val="26"/>
    </w:rPr>
  </w:style>
  <w:style w:type="character" w:styleId="Odwoaniedokomentarza">
    <w:name w:val="annotation reference"/>
    <w:basedOn w:val="Domylnaczcionkaakapitu"/>
    <w:uiPriority w:val="99"/>
    <w:semiHidden/>
    <w:unhideWhenUsed/>
    <w:rsid w:val="004A1C82"/>
    <w:rPr>
      <w:sz w:val="16"/>
      <w:szCs w:val="16"/>
    </w:rPr>
  </w:style>
  <w:style w:type="paragraph" w:styleId="Tekstkomentarza">
    <w:name w:val="annotation text"/>
    <w:basedOn w:val="Normalny"/>
    <w:link w:val="TekstkomentarzaZnak"/>
    <w:uiPriority w:val="99"/>
    <w:semiHidden/>
    <w:unhideWhenUsed/>
    <w:rsid w:val="004A1C8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A1C82"/>
    <w:rPr>
      <w:sz w:val="20"/>
      <w:szCs w:val="20"/>
    </w:rPr>
  </w:style>
  <w:style w:type="paragraph" w:styleId="Tematkomentarza">
    <w:name w:val="annotation subject"/>
    <w:basedOn w:val="Tekstkomentarza"/>
    <w:next w:val="Tekstkomentarza"/>
    <w:link w:val="TematkomentarzaZnak"/>
    <w:uiPriority w:val="99"/>
    <w:semiHidden/>
    <w:unhideWhenUsed/>
    <w:rsid w:val="004A1C82"/>
    <w:rPr>
      <w:b/>
      <w:bCs/>
    </w:rPr>
  </w:style>
  <w:style w:type="character" w:customStyle="1" w:styleId="TematkomentarzaZnak">
    <w:name w:val="Temat komentarza Znak"/>
    <w:basedOn w:val="TekstkomentarzaZnak"/>
    <w:link w:val="Tematkomentarza"/>
    <w:uiPriority w:val="99"/>
    <w:semiHidden/>
    <w:rsid w:val="004A1C82"/>
    <w:rPr>
      <w:b/>
      <w:bCs/>
      <w:sz w:val="20"/>
      <w:szCs w:val="20"/>
    </w:rPr>
  </w:style>
  <w:style w:type="paragraph" w:styleId="Tekstdymka">
    <w:name w:val="Balloon Text"/>
    <w:basedOn w:val="Normalny"/>
    <w:link w:val="TekstdymkaZnak"/>
    <w:uiPriority w:val="99"/>
    <w:semiHidden/>
    <w:unhideWhenUsed/>
    <w:rsid w:val="004A1C8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A1C82"/>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2">
    <w:name w:val="heading 2"/>
    <w:basedOn w:val="Normalny"/>
    <w:next w:val="Normalny"/>
    <w:link w:val="Nagwek2Znak"/>
    <w:uiPriority w:val="9"/>
    <w:unhideWhenUsed/>
    <w:qFormat/>
    <w:rsid w:val="00F271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935E4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35E44"/>
  </w:style>
  <w:style w:type="paragraph" w:styleId="Stopka">
    <w:name w:val="footer"/>
    <w:basedOn w:val="Normalny"/>
    <w:link w:val="StopkaZnak"/>
    <w:uiPriority w:val="99"/>
    <w:unhideWhenUsed/>
    <w:rsid w:val="00935E4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35E44"/>
  </w:style>
  <w:style w:type="character" w:customStyle="1" w:styleId="Nagwek2Znak">
    <w:name w:val="Nagłówek 2 Znak"/>
    <w:basedOn w:val="Domylnaczcionkaakapitu"/>
    <w:link w:val="Nagwek2"/>
    <w:uiPriority w:val="9"/>
    <w:rsid w:val="00F2711B"/>
    <w:rPr>
      <w:rFonts w:asciiTheme="majorHAnsi" w:eastAsiaTheme="majorEastAsia" w:hAnsiTheme="majorHAnsi" w:cstheme="majorBidi"/>
      <w:color w:val="2E74B5" w:themeColor="accent1" w:themeShade="BF"/>
      <w:sz w:val="26"/>
      <w:szCs w:val="26"/>
    </w:rPr>
  </w:style>
  <w:style w:type="character" w:styleId="Odwoaniedokomentarza">
    <w:name w:val="annotation reference"/>
    <w:basedOn w:val="Domylnaczcionkaakapitu"/>
    <w:uiPriority w:val="99"/>
    <w:semiHidden/>
    <w:unhideWhenUsed/>
    <w:rsid w:val="004A1C82"/>
    <w:rPr>
      <w:sz w:val="16"/>
      <w:szCs w:val="16"/>
    </w:rPr>
  </w:style>
  <w:style w:type="paragraph" w:styleId="Tekstkomentarza">
    <w:name w:val="annotation text"/>
    <w:basedOn w:val="Normalny"/>
    <w:link w:val="TekstkomentarzaZnak"/>
    <w:uiPriority w:val="99"/>
    <w:semiHidden/>
    <w:unhideWhenUsed/>
    <w:rsid w:val="004A1C8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A1C82"/>
    <w:rPr>
      <w:sz w:val="20"/>
      <w:szCs w:val="20"/>
    </w:rPr>
  </w:style>
  <w:style w:type="paragraph" w:styleId="Tematkomentarza">
    <w:name w:val="annotation subject"/>
    <w:basedOn w:val="Tekstkomentarza"/>
    <w:next w:val="Tekstkomentarza"/>
    <w:link w:val="TematkomentarzaZnak"/>
    <w:uiPriority w:val="99"/>
    <w:semiHidden/>
    <w:unhideWhenUsed/>
    <w:rsid w:val="004A1C82"/>
    <w:rPr>
      <w:b/>
      <w:bCs/>
    </w:rPr>
  </w:style>
  <w:style w:type="character" w:customStyle="1" w:styleId="TematkomentarzaZnak">
    <w:name w:val="Temat komentarza Znak"/>
    <w:basedOn w:val="TekstkomentarzaZnak"/>
    <w:link w:val="Tematkomentarza"/>
    <w:uiPriority w:val="99"/>
    <w:semiHidden/>
    <w:rsid w:val="004A1C82"/>
    <w:rPr>
      <w:b/>
      <w:bCs/>
      <w:sz w:val="20"/>
      <w:szCs w:val="20"/>
    </w:rPr>
  </w:style>
  <w:style w:type="paragraph" w:styleId="Tekstdymka">
    <w:name w:val="Balloon Text"/>
    <w:basedOn w:val="Normalny"/>
    <w:link w:val="TekstdymkaZnak"/>
    <w:uiPriority w:val="99"/>
    <w:semiHidden/>
    <w:unhideWhenUsed/>
    <w:rsid w:val="004A1C8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A1C8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3269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11</Pages>
  <Words>5235</Words>
  <Characters>31416</Characters>
  <Application>Microsoft Office Word</Application>
  <DocSecurity>0</DocSecurity>
  <Lines>261</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Piotr Kupczak</dc:creator>
  <cp:lastModifiedBy>Joanna Podsiadlik</cp:lastModifiedBy>
  <cp:revision>3</cp:revision>
  <dcterms:created xsi:type="dcterms:W3CDTF">2015-03-11T09:46:00Z</dcterms:created>
  <dcterms:modified xsi:type="dcterms:W3CDTF">2015-03-11T09:47:00Z</dcterms:modified>
</cp:coreProperties>
</file>