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566C2B" w:rsidRDefault="00CB6204" w:rsidP="00CB6204">
      <w:pPr>
        <w:pStyle w:val="Nagwek4"/>
        <w:rPr>
          <w:rFonts w:ascii="Tahoma" w:hAnsi="Tahoma" w:cs="Tahoma"/>
          <w:b/>
          <w:i w:val="0"/>
          <w:sz w:val="18"/>
          <w:szCs w:val="18"/>
        </w:rPr>
      </w:pPr>
      <w:bookmarkStart w:id="0" w:name="_GoBack"/>
      <w:bookmarkEnd w:id="0"/>
      <w:r w:rsidRPr="00566C2B">
        <w:rPr>
          <w:rFonts w:ascii="Tahoma" w:hAnsi="Tahoma" w:cs="Tahoma"/>
          <w:b/>
          <w:i w:val="0"/>
          <w:sz w:val="18"/>
          <w:szCs w:val="18"/>
        </w:rPr>
        <w:t xml:space="preserve">Załącznik nr </w:t>
      </w:r>
      <w:r w:rsidR="00CD3665" w:rsidRPr="00CD3665">
        <w:rPr>
          <w:rFonts w:ascii="Tahoma" w:hAnsi="Tahoma" w:cs="Tahoma"/>
          <w:b/>
          <w:i w:val="0"/>
          <w:sz w:val="18"/>
          <w:szCs w:val="18"/>
        </w:rPr>
        <w:t>2</w:t>
      </w:r>
    </w:p>
    <w:p w:rsidR="00CB6204" w:rsidRPr="00566C2B" w:rsidRDefault="00C212EA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noProof/>
          <w:sz w:val="18"/>
          <w:szCs w:val="18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CB6204" w:rsidRPr="00566C2B" w:rsidRDefault="00CB6204" w:rsidP="00CB6204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EC667E" w:rsidRPr="00566C2B" w:rsidRDefault="00EC667E" w:rsidP="00CB6204">
      <w:pPr>
        <w:pStyle w:val="Nagwek3"/>
        <w:rPr>
          <w:rFonts w:ascii="Tahoma" w:hAnsi="Tahoma" w:cs="Tahoma"/>
          <w:sz w:val="18"/>
          <w:szCs w:val="18"/>
        </w:rPr>
      </w:pPr>
    </w:p>
    <w:p w:rsidR="00A46EFE" w:rsidRPr="00566C2B" w:rsidRDefault="009A21D7" w:rsidP="009A21D7">
      <w:pPr>
        <w:pStyle w:val="Nagwek3"/>
        <w:ind w:left="0"/>
        <w:rPr>
          <w:rFonts w:ascii="Tahoma" w:hAnsi="Tahoma" w:cs="Tahoma"/>
          <w:spacing w:val="20"/>
          <w:sz w:val="18"/>
          <w:szCs w:val="18"/>
        </w:rPr>
      </w:pPr>
      <w:r w:rsidRPr="00566C2B">
        <w:rPr>
          <w:rFonts w:ascii="Tahoma" w:hAnsi="Tahoma" w:cs="Tahoma"/>
          <w:spacing w:val="20"/>
          <w:sz w:val="18"/>
          <w:szCs w:val="18"/>
        </w:rPr>
        <w:t>OŚWIADCZENIE</w:t>
      </w:r>
    </w:p>
    <w:p w:rsidR="00A46EFE" w:rsidRPr="00566C2B" w:rsidRDefault="00A46EFE" w:rsidP="009A21D7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Składając ofertę w trybie </w:t>
      </w:r>
      <w:r w:rsidR="00CD3665" w:rsidRPr="00CD3665">
        <w:rPr>
          <w:rFonts w:ascii="Tahoma" w:hAnsi="Tahoma" w:cs="Tahoma"/>
          <w:b/>
          <w:sz w:val="18"/>
          <w:szCs w:val="18"/>
        </w:rPr>
        <w:t>przetarg nieograniczony</w:t>
      </w:r>
      <w:r w:rsidRPr="00566C2B">
        <w:rPr>
          <w:rFonts w:ascii="Tahoma" w:hAnsi="Tahoma" w:cs="Tahoma"/>
          <w:sz w:val="18"/>
          <w:szCs w:val="18"/>
        </w:rPr>
        <w:t xml:space="preserve"> na</w:t>
      </w:r>
      <w:r w:rsidR="00DD482A" w:rsidRPr="00566C2B">
        <w:rPr>
          <w:rFonts w:ascii="Tahoma" w:hAnsi="Tahoma" w:cs="Tahoma"/>
          <w:sz w:val="18"/>
          <w:szCs w:val="18"/>
        </w:rPr>
        <w:t>:</w:t>
      </w:r>
    </w:p>
    <w:p w:rsidR="00A46EFE" w:rsidRPr="00566C2B" w:rsidRDefault="00CD3665" w:rsidP="009A21D7">
      <w:pPr>
        <w:pStyle w:val="Tekstpodstawowywcity"/>
        <w:spacing w:line="360" w:lineRule="auto"/>
        <w:ind w:firstLine="0"/>
        <w:rPr>
          <w:rFonts w:ascii="Tahoma" w:hAnsi="Tahoma" w:cs="Tahoma"/>
          <w:sz w:val="18"/>
          <w:szCs w:val="18"/>
        </w:rPr>
      </w:pPr>
      <w:r w:rsidRPr="00CD3665">
        <w:rPr>
          <w:rFonts w:ascii="Tahoma" w:hAnsi="Tahoma" w:cs="Tahoma"/>
          <w:b/>
          <w:sz w:val="18"/>
          <w:szCs w:val="18"/>
        </w:rPr>
        <w:t>Wykonanie elementów tytanowych według załączonego rysunku</w:t>
      </w:r>
      <w:r w:rsidR="00566C2B" w:rsidRPr="00566C2B">
        <w:rPr>
          <w:rFonts w:ascii="Tahoma" w:hAnsi="Tahoma" w:cs="Tahoma"/>
          <w:sz w:val="18"/>
          <w:szCs w:val="18"/>
        </w:rPr>
        <w:t xml:space="preserve">, spr. nr rej. </w:t>
      </w:r>
      <w:r w:rsidRPr="00CD3665">
        <w:rPr>
          <w:rFonts w:ascii="Tahoma" w:hAnsi="Tahoma" w:cs="Tahoma"/>
          <w:b/>
          <w:sz w:val="18"/>
          <w:szCs w:val="18"/>
        </w:rPr>
        <w:t>ZP/U-37/A/12</w:t>
      </w:r>
    </w:p>
    <w:p w:rsidR="00DD482A" w:rsidRPr="00566C2B" w:rsidRDefault="00DD482A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</w:t>
      </w:r>
      <w:r w:rsidR="008D4CAF" w:rsidRPr="00566C2B">
        <w:rPr>
          <w:rFonts w:ascii="Tahoma" w:hAnsi="Tahoma" w:cs="Tahoma"/>
          <w:sz w:val="18"/>
          <w:szCs w:val="18"/>
        </w:rPr>
        <w:t xml:space="preserve">świadczamy, że </w:t>
      </w:r>
      <w:r w:rsidRPr="00566C2B">
        <w:rPr>
          <w:rFonts w:ascii="Tahoma" w:hAnsi="Tahoma" w:cs="Tahoma"/>
          <w:sz w:val="18"/>
          <w:szCs w:val="18"/>
        </w:rPr>
        <w:t xml:space="preserve">brak jest podstaw do wykluczenia </w:t>
      </w:r>
      <w:r w:rsidR="008D4CAF" w:rsidRPr="00566C2B">
        <w:rPr>
          <w:rFonts w:ascii="Tahoma" w:hAnsi="Tahoma" w:cs="Tahoma"/>
          <w:sz w:val="18"/>
          <w:szCs w:val="18"/>
        </w:rPr>
        <w:t xml:space="preserve">nas </w:t>
      </w:r>
      <w:r w:rsidRPr="00566C2B">
        <w:rPr>
          <w:rFonts w:ascii="Tahoma" w:hAnsi="Tahoma" w:cs="Tahoma"/>
          <w:sz w:val="18"/>
          <w:szCs w:val="18"/>
        </w:rPr>
        <w:t>na podstawie okoliczno</w:t>
      </w:r>
      <w:r w:rsidRPr="00566C2B">
        <w:rPr>
          <w:rFonts w:ascii="Tahoma" w:eastAsia="TimesNewRoman" w:hAnsi="Tahoma" w:cs="Tahoma"/>
          <w:sz w:val="18"/>
          <w:szCs w:val="18"/>
        </w:rPr>
        <w:t>ś</w:t>
      </w:r>
      <w:r w:rsidRPr="00566C2B">
        <w:rPr>
          <w:rFonts w:ascii="Tahoma" w:hAnsi="Tahoma" w:cs="Tahoma"/>
          <w:sz w:val="18"/>
          <w:szCs w:val="18"/>
        </w:rPr>
        <w:t>ci, o których mowa</w:t>
      </w:r>
      <w:r w:rsidR="008460DE" w:rsidRPr="00566C2B">
        <w:rPr>
          <w:rFonts w:ascii="Tahoma" w:hAnsi="Tahoma" w:cs="Tahoma"/>
          <w:sz w:val="18"/>
          <w:szCs w:val="18"/>
        </w:rPr>
        <w:t xml:space="preserve"> w art. 24 ust. 1</w:t>
      </w:r>
      <w:r w:rsidRPr="00566C2B">
        <w:rPr>
          <w:rFonts w:ascii="Tahoma" w:hAnsi="Tahoma" w:cs="Tahoma"/>
          <w:sz w:val="18"/>
          <w:szCs w:val="18"/>
        </w:rPr>
        <w:t xml:space="preserve"> ustawy z dnia 29 stycznia 2004 </w:t>
      </w:r>
      <w:r w:rsidR="008D4CAF" w:rsidRPr="00566C2B">
        <w:rPr>
          <w:rFonts w:ascii="Tahoma" w:hAnsi="Tahoma" w:cs="Tahoma"/>
          <w:sz w:val="18"/>
          <w:szCs w:val="18"/>
        </w:rPr>
        <w:t xml:space="preserve">roku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zgodnie z którym z postępowania o udzielenie zamówienia wyklucza się:</w:t>
      </w:r>
    </w:p>
    <w:p w:rsidR="00A46EFE" w:rsidRPr="00566C2B" w:rsidRDefault="00A46EFE" w:rsidP="009A21D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wyrządzili szkodę, nie wykonując z</w:t>
      </w:r>
      <w:r w:rsidR="00566C2B">
        <w:rPr>
          <w:rFonts w:ascii="Tahoma" w:hAnsi="Tahoma" w:cs="Tahoma"/>
          <w:sz w:val="18"/>
          <w:szCs w:val="18"/>
        </w:rPr>
        <w:t xml:space="preserve">amówienia lub wykonując </w:t>
      </w:r>
      <w:r w:rsidRPr="00566C2B">
        <w:rPr>
          <w:rFonts w:ascii="Tahoma" w:hAnsi="Tahoma" w:cs="Tahoma"/>
          <w:sz w:val="18"/>
          <w:szCs w:val="18"/>
        </w:rPr>
        <w:t>je nienależycie, jeżeli szkoda ta została stwierdzona orzeczeniem sądu, które uprawomocniło się w okresie 3 lat przed wszczęciem postępowania;</w:t>
      </w:r>
    </w:p>
    <w:p w:rsidR="004C55DE" w:rsidRPr="00566C2B" w:rsidRDefault="004C55DE" w:rsidP="004C55DE">
      <w:pPr>
        <w:pStyle w:val="Tekstpodstawowywcity"/>
        <w:ind w:left="360" w:hanging="36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1a)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osoby fizyczne, które prawomocnie skazano za pr</w:t>
      </w:r>
      <w:r w:rsidR="00EB5766" w:rsidRPr="00566C2B">
        <w:rPr>
          <w:rFonts w:ascii="Tahoma" w:hAnsi="Tahoma" w:cs="Tahoma"/>
          <w:sz w:val="18"/>
          <w:szCs w:val="18"/>
        </w:rPr>
        <w:t xml:space="preserve">zestępstwo popełnione w związku </w:t>
      </w:r>
      <w:r w:rsidRPr="00566C2B">
        <w:rPr>
          <w:rFonts w:ascii="Tahoma" w:hAnsi="Tahoma" w:cs="Tahoma"/>
          <w:sz w:val="18"/>
          <w:szCs w:val="18"/>
        </w:rPr>
        <w:t>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jawne, których wspólnika prawomocnie skazano za przestępstwo popełnione</w:t>
      </w:r>
      <w:r w:rsidR="00EB5766" w:rsidRPr="00566C2B">
        <w:rPr>
          <w:rFonts w:ascii="Tahoma" w:hAnsi="Tahoma" w:cs="Tahoma"/>
          <w:sz w:val="18"/>
          <w:szCs w:val="18"/>
        </w:rPr>
        <w:t xml:space="preserve"> </w:t>
      </w:r>
      <w:r w:rsidRPr="00566C2B">
        <w:rPr>
          <w:rFonts w:ascii="Tahoma" w:hAnsi="Tahoma" w:cs="Tahoma"/>
          <w:sz w:val="18"/>
          <w:szCs w:val="18"/>
        </w:rPr>
        <w:t xml:space="preserve">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</w:t>
      </w:r>
      <w:r w:rsidRPr="00566C2B">
        <w:rPr>
          <w:rFonts w:ascii="Tahoma" w:hAnsi="Tahoma" w:cs="Tahoma"/>
          <w:sz w:val="18"/>
          <w:szCs w:val="18"/>
        </w:rPr>
        <w:br/>
        <w:t>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</w:t>
      </w:r>
      <w:r w:rsidRPr="00566C2B">
        <w:rPr>
          <w:rFonts w:ascii="Tahoma" w:hAnsi="Tahoma" w:cs="Tahoma"/>
          <w:sz w:val="18"/>
          <w:szCs w:val="18"/>
        </w:rPr>
        <w:softHyphen/>
        <w:t>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spółki komandytowe oraz spółki komandytowo-akcyjne, których komplementariusza prawomocnie skazano za przestępstwo popeł</w:t>
      </w:r>
      <w:r w:rsidR="00A807A7" w:rsidRPr="00566C2B">
        <w:rPr>
          <w:rFonts w:ascii="Tahoma" w:hAnsi="Tahoma" w:cs="Tahoma"/>
          <w:sz w:val="18"/>
          <w:szCs w:val="18"/>
        </w:rPr>
        <w:t xml:space="preserve">nione w związku z postępowaniem </w:t>
      </w:r>
      <w:r w:rsidRPr="00566C2B">
        <w:rPr>
          <w:rFonts w:ascii="Tahoma" w:hAnsi="Tahoma" w:cs="Tahoma"/>
          <w:sz w:val="18"/>
          <w:szCs w:val="18"/>
        </w:rPr>
        <w:t xml:space="preserve">o udzielenie zamówienia, przestępstwo przeciwko prawom osób wykonujących pracę zarobkową, przestępstwo przeciwko środowisku, przestępstwo przekupstwa, przestępstwo przeciwko obrotowi gospodarczemu lub inne przestępstwo popełnione </w:t>
      </w:r>
      <w:r w:rsidRPr="00566C2B">
        <w:rPr>
          <w:rFonts w:ascii="Tahoma" w:hAnsi="Tahoma" w:cs="Tahoma"/>
          <w:sz w:val="18"/>
          <w:szCs w:val="18"/>
        </w:rPr>
        <w:br/>
        <w:t>w celu osiągnięcia korzyści majątkowych, a także za przestępstwo sk</w:t>
      </w:r>
      <w:r w:rsidR="00A807A7" w:rsidRPr="00566C2B">
        <w:rPr>
          <w:rFonts w:ascii="Tahoma" w:hAnsi="Tahoma" w:cs="Tahoma"/>
          <w:sz w:val="18"/>
          <w:szCs w:val="18"/>
        </w:rPr>
        <w:t xml:space="preserve">arbowe lub przestępstwo udziału </w:t>
      </w:r>
      <w:r w:rsidRPr="00566C2B">
        <w:rPr>
          <w:rFonts w:ascii="Tahoma" w:hAnsi="Tahoma" w:cs="Tahoma"/>
          <w:sz w:val="18"/>
          <w:szCs w:val="18"/>
        </w:rPr>
        <w:t>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lastRenderedPageBreak/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66C2B" w:rsidRDefault="00A46EFE" w:rsidP="009A21D7">
      <w:pPr>
        <w:pStyle w:val="Tekstpodstawowywcity"/>
        <w:numPr>
          <w:ilvl w:val="0"/>
          <w:numId w:val="4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podmioty zbiorowe, wobec których sąd orzekł zakaz ubiegania się o zamówienia na podstawie przepisów o odpowiedzialności podmiotów zbiorowych za czyny zabronione pod groźbą kary</w:t>
      </w:r>
      <w:r w:rsidR="00415097" w:rsidRPr="00566C2B">
        <w:rPr>
          <w:rFonts w:ascii="Tahoma" w:hAnsi="Tahoma" w:cs="Tahoma"/>
          <w:sz w:val="18"/>
          <w:szCs w:val="18"/>
        </w:rPr>
        <w:t>.</w:t>
      </w: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</w:p>
    <w:p w:rsidR="00415097" w:rsidRPr="00566C2B" w:rsidRDefault="00415097" w:rsidP="00415097">
      <w:pPr>
        <w:pStyle w:val="Tekstpodstawowywcity"/>
        <w:ind w:firstLine="0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iCs/>
          <w:sz w:val="18"/>
          <w:szCs w:val="18"/>
        </w:rPr>
        <w:t>Z postępowania o udzielenie zamówienia wyklucza się również wykonawców, którzy:</w:t>
      </w:r>
    </w:p>
    <w:p w:rsidR="00A46EFE" w:rsidRPr="00566C2B" w:rsidRDefault="00A46EFE" w:rsidP="0041509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wykonywali bezpośrednio czynności związane z przygotowaniem prowadzonego postępowania lub posługiwali się w celu sporządzenia oferty osobami uczestniczącymi    w dokonywaniu tych czynności, chyba że udział tych wykonawców w postępowaniu nie utrudni uczciwej konkurencji; przepisu nie stosuje się do wykonawców, którym udziela się zamówienia na podstawie art. 62 ust. 1 pkt 2 lub art. 67 ust. 1 pkt 1 i 2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;</w:t>
      </w:r>
    </w:p>
    <w:p w:rsidR="00A46EFE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 xml:space="preserve">nie wnieśli wadium do </w:t>
      </w:r>
      <w:r w:rsidR="00A807A7" w:rsidRPr="00566C2B">
        <w:rPr>
          <w:rFonts w:ascii="Tahoma" w:hAnsi="Tahoma" w:cs="Tahoma"/>
          <w:sz w:val="18"/>
          <w:szCs w:val="18"/>
        </w:rPr>
        <w:t xml:space="preserve">upływu terminu składania ofert, </w:t>
      </w:r>
      <w:r w:rsidRPr="00566C2B">
        <w:rPr>
          <w:rFonts w:ascii="Tahoma" w:hAnsi="Tahoma" w:cs="Tahoma"/>
          <w:sz w:val="18"/>
          <w:szCs w:val="18"/>
        </w:rPr>
        <w:t xml:space="preserve">na przedłużony okres związania ofertą lub w terminie, o którym mowa w art. 46 ust. 3 ustawy Prawo Zamówień Publicznych </w:t>
      </w:r>
      <w:r w:rsidR="00AB7377" w:rsidRPr="00566C2B">
        <w:rPr>
          <w:rFonts w:ascii="Tahoma" w:hAnsi="Tahoma" w:cs="Tahoma"/>
          <w:sz w:val="18"/>
          <w:szCs w:val="18"/>
        </w:rPr>
        <w:t>(</w:t>
      </w:r>
      <w:r w:rsidR="00460820" w:rsidRPr="00566C2B">
        <w:rPr>
          <w:rFonts w:ascii="Tahoma" w:hAnsi="Tahoma" w:cs="Tahoma"/>
          <w:sz w:val="18"/>
          <w:szCs w:val="18"/>
        </w:rPr>
        <w:t>Dz. U. z 2010 r. Nr 113, poz. 759, z późn. zm.</w:t>
      </w:r>
      <w:r w:rsidR="00AB7377" w:rsidRPr="00566C2B">
        <w:rPr>
          <w:rFonts w:ascii="Tahoma" w:hAnsi="Tahoma" w:cs="Tahoma"/>
          <w:sz w:val="18"/>
          <w:szCs w:val="18"/>
        </w:rPr>
        <w:t>)</w:t>
      </w:r>
      <w:r w:rsidRPr="00566C2B">
        <w:rPr>
          <w:rFonts w:ascii="Tahoma" w:hAnsi="Tahoma" w:cs="Tahoma"/>
          <w:sz w:val="18"/>
          <w:szCs w:val="18"/>
        </w:rPr>
        <w:t>, albo nie zgodzili się na przedłużenie okresu związania ofertą;</w:t>
      </w:r>
    </w:p>
    <w:p w:rsidR="002B1E07" w:rsidRPr="00566C2B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złożyli nieprawdziwe informacje mające wpływ lub mogące mieć wpływ na wynik prowadzonego postępowania;</w:t>
      </w:r>
    </w:p>
    <w:p w:rsidR="00BE6092" w:rsidRDefault="00A46EFE" w:rsidP="009A21D7">
      <w:pPr>
        <w:pStyle w:val="Tekstpodstawowywcity"/>
        <w:numPr>
          <w:ilvl w:val="0"/>
          <w:numId w:val="7"/>
        </w:numPr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</w:rPr>
        <w:t>nie wykazali spełniania warunków udziału w postępowaniu</w:t>
      </w:r>
      <w:r w:rsidRPr="00566C2B">
        <w:rPr>
          <w:rFonts w:ascii="Tahoma" w:hAnsi="Tahoma" w:cs="Tahoma"/>
          <w:sz w:val="18"/>
          <w:szCs w:val="18"/>
          <w:lang w:eastAsia="en-US"/>
        </w:rPr>
        <w:t>.</w:t>
      </w:r>
    </w:p>
    <w:p w:rsidR="00566C2B" w:rsidRPr="00566C2B" w:rsidRDefault="00566C2B" w:rsidP="00566C2B">
      <w:pPr>
        <w:pStyle w:val="Tekstpodstawowywcity"/>
        <w:ind w:left="357" w:firstLine="0"/>
        <w:rPr>
          <w:rFonts w:ascii="Tahoma" w:hAnsi="Tahoma" w:cs="Tahoma"/>
          <w:sz w:val="18"/>
          <w:szCs w:val="18"/>
        </w:rPr>
      </w:pPr>
    </w:p>
    <w:p w:rsidR="00F568D6" w:rsidRPr="00566C2B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 xml:space="preserve"> dnia </w:t>
      </w:r>
      <w:r w:rsidRPr="00566C2B">
        <w:rPr>
          <w:rFonts w:ascii="Tahoma" w:hAnsi="Tahoma" w:cs="Tahoma"/>
          <w:sz w:val="18"/>
          <w:szCs w:val="18"/>
          <w:u w:val="dotted"/>
        </w:rPr>
        <w:tab/>
      </w:r>
      <w:r w:rsidRPr="00566C2B">
        <w:rPr>
          <w:rFonts w:ascii="Tahoma" w:hAnsi="Tahoma" w:cs="Tahoma"/>
          <w:sz w:val="18"/>
          <w:szCs w:val="18"/>
        </w:rPr>
        <w:tab/>
      </w:r>
      <w:r w:rsidRPr="00566C2B">
        <w:rPr>
          <w:rFonts w:ascii="Tahoma" w:hAnsi="Tahoma" w:cs="Tahoma"/>
          <w:sz w:val="18"/>
          <w:szCs w:val="18"/>
          <w:u w:val="dotted"/>
        </w:rPr>
        <w:tab/>
      </w:r>
    </w:p>
    <w:p w:rsidR="00F568D6" w:rsidRPr="00566C2B" w:rsidRDefault="00F568D6" w:rsidP="00F568D6">
      <w:pPr>
        <w:ind w:left="5529"/>
        <w:jc w:val="center"/>
        <w:rPr>
          <w:rFonts w:ascii="Tahoma" w:hAnsi="Tahoma" w:cs="Tahoma"/>
          <w:sz w:val="18"/>
          <w:szCs w:val="18"/>
        </w:rPr>
      </w:pPr>
      <w:r w:rsidRPr="00566C2B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sectPr w:rsidR="00F568D6" w:rsidRPr="00566C2B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8D2" w:rsidRDefault="00CF18D2">
      <w:r>
        <w:separator/>
      </w:r>
    </w:p>
  </w:endnote>
  <w:endnote w:type="continuationSeparator" w:id="0">
    <w:p w:rsidR="00CF18D2" w:rsidRDefault="00CF1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212E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Pr="00566C2B" w:rsidRDefault="00336EEB" w:rsidP="00336EEB">
    <w:pPr>
      <w:pStyle w:val="Stopka"/>
      <w:ind w:right="360"/>
      <w:rPr>
        <w:rFonts w:ascii="Tahoma" w:hAnsi="Tahoma" w:cs="Tahoma"/>
        <w:sz w:val="16"/>
        <w:szCs w:val="16"/>
      </w:rPr>
    </w:pPr>
    <w:r w:rsidRPr="00566C2B">
      <w:rPr>
        <w:rFonts w:ascii="Tahoma" w:hAnsi="Tahoma" w:cs="Tahoma"/>
        <w:sz w:val="16"/>
        <w:szCs w:val="16"/>
      </w:rPr>
      <w:t>System ProPublico © Datacomp</w:t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Fonts w:ascii="Tahoma" w:hAnsi="Tahoma" w:cs="Tahoma"/>
        <w:sz w:val="16"/>
        <w:szCs w:val="16"/>
      </w:rPr>
      <w:tab/>
    </w:r>
    <w:r w:rsidRPr="00566C2B">
      <w:rPr>
        <w:rStyle w:val="Numerstrony"/>
        <w:rFonts w:ascii="Tahoma" w:hAnsi="Tahoma" w:cs="Tahoma"/>
        <w:sz w:val="16"/>
        <w:szCs w:val="16"/>
      </w:rPr>
      <w:t xml:space="preserve">Strona: 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C212EA">
      <w:rPr>
        <w:rStyle w:val="Numerstrony"/>
        <w:rFonts w:ascii="Tahoma" w:hAnsi="Tahoma" w:cs="Tahoma"/>
        <w:noProof/>
        <w:sz w:val="16"/>
        <w:szCs w:val="16"/>
      </w:rPr>
      <w:t>1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  <w:r w:rsidRPr="00566C2B">
      <w:rPr>
        <w:rStyle w:val="Numerstrony"/>
        <w:rFonts w:ascii="Tahoma" w:hAnsi="Tahoma" w:cs="Tahoma"/>
        <w:sz w:val="16"/>
        <w:szCs w:val="16"/>
      </w:rPr>
      <w:t>/</w:t>
    </w:r>
    <w:r w:rsidRPr="00566C2B">
      <w:rPr>
        <w:rStyle w:val="Numerstrony"/>
        <w:rFonts w:ascii="Tahoma" w:hAnsi="Tahoma" w:cs="Tahoma"/>
        <w:sz w:val="16"/>
        <w:szCs w:val="16"/>
      </w:rPr>
      <w:fldChar w:fldCharType="begin"/>
    </w:r>
    <w:r w:rsidRPr="00566C2B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566C2B">
      <w:rPr>
        <w:rStyle w:val="Numerstrony"/>
        <w:rFonts w:ascii="Tahoma" w:hAnsi="Tahoma" w:cs="Tahoma"/>
        <w:sz w:val="16"/>
        <w:szCs w:val="16"/>
      </w:rPr>
      <w:fldChar w:fldCharType="separate"/>
    </w:r>
    <w:r w:rsidR="00C212EA">
      <w:rPr>
        <w:rStyle w:val="Numerstrony"/>
        <w:rFonts w:ascii="Tahoma" w:hAnsi="Tahoma" w:cs="Tahoma"/>
        <w:noProof/>
        <w:sz w:val="16"/>
        <w:szCs w:val="16"/>
      </w:rPr>
      <w:t>2</w:t>
    </w:r>
    <w:r w:rsidRPr="00566C2B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8D2" w:rsidRDefault="00CF18D2">
      <w:r>
        <w:separator/>
      </w:r>
    </w:p>
  </w:footnote>
  <w:footnote w:type="continuationSeparator" w:id="0">
    <w:p w:rsidR="00CF18D2" w:rsidRDefault="00CF18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C212EA" w:rsidRPr="00C212EA" w:rsidTr="00D63946">
      <w:tc>
        <w:tcPr>
          <w:tcW w:w="3070" w:type="dxa"/>
          <w:vAlign w:val="center"/>
        </w:tcPr>
        <w:p w:rsidR="00C212EA" w:rsidRPr="00C212EA" w:rsidRDefault="00C212EA" w:rsidP="00C212EA">
          <w:pPr>
            <w:rPr>
              <w:rFonts w:ascii="Tahoma" w:hAnsi="Tahoma" w:cs="Tahoma"/>
              <w:sz w:val="24"/>
              <w:szCs w:val="24"/>
            </w:rPr>
          </w:pPr>
          <w:r w:rsidRPr="00C212EA">
            <w:rPr>
              <w:rFonts w:ascii="Tahoma" w:hAnsi="Tahoma" w:cs="Tahoma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7pt;height:39.7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C212EA" w:rsidRPr="00C212EA" w:rsidRDefault="00C212EA" w:rsidP="00C212EA">
          <w:pPr>
            <w:jc w:val="center"/>
            <w:rPr>
              <w:rFonts w:ascii="Tahoma" w:hAnsi="Tahoma" w:cs="Tahoma"/>
              <w:sz w:val="24"/>
              <w:szCs w:val="24"/>
            </w:rPr>
          </w:pPr>
          <w:r w:rsidRPr="00C212EA">
            <w:rPr>
              <w:rFonts w:ascii="Tahoma" w:hAnsi="Tahoma" w:cs="Tahoma"/>
              <w:sz w:val="24"/>
              <w:szCs w:val="24"/>
            </w:rPr>
            <w:object w:dxaOrig="2535" w:dyaOrig="1412">
              <v:shape id="_x0000_i1026" type="#_x0000_t75" style="width:46.5pt;height:26.25pt" o:ole="">
                <v:imagedata r:id="rId2" o:title=""/>
              </v:shape>
              <o:OLEObject Type="Embed" ProgID="CorelDraw.Graphic.7" ShapeID="_x0000_i1026" DrawAspect="Content" ObjectID="_1412577963" r:id="rId3"/>
            </w:object>
          </w:r>
        </w:p>
      </w:tc>
      <w:tc>
        <w:tcPr>
          <w:tcW w:w="3071" w:type="dxa"/>
          <w:vAlign w:val="center"/>
        </w:tcPr>
        <w:p w:rsidR="00C212EA" w:rsidRPr="00C212EA" w:rsidRDefault="00C212EA" w:rsidP="00C212EA">
          <w:pPr>
            <w:jc w:val="right"/>
            <w:rPr>
              <w:rFonts w:ascii="Tahoma" w:hAnsi="Tahoma" w:cs="Tahoma"/>
              <w:sz w:val="24"/>
              <w:szCs w:val="24"/>
            </w:rPr>
          </w:pPr>
          <w:r w:rsidRPr="00C212EA">
            <w:rPr>
              <w:rFonts w:ascii="Tahoma" w:hAnsi="Tahoma" w:cs="Tahoma"/>
              <w:noProof/>
              <w:sz w:val="24"/>
              <w:szCs w:val="24"/>
            </w:rPr>
            <w:pict>
              <v:shape id="Obraz 5" o:spid="_x0000_i1027" type="#_x0000_t75" style="width:102pt;height:35.25pt;visibility:visible">
                <v:imagedata r:id="rId4" o:title="Nowy obraz"/>
              </v:shape>
            </w:pict>
          </w:r>
        </w:p>
      </w:tc>
    </w:tr>
    <w:tr w:rsidR="00C212EA" w:rsidRPr="00C212EA" w:rsidTr="00D63946">
      <w:trPr>
        <w:trHeight w:val="647"/>
      </w:trPr>
      <w:tc>
        <w:tcPr>
          <w:tcW w:w="9212" w:type="dxa"/>
          <w:gridSpan w:val="3"/>
          <w:vAlign w:val="center"/>
        </w:tcPr>
        <w:p w:rsidR="00C212EA" w:rsidRPr="00C212EA" w:rsidRDefault="00C212EA" w:rsidP="00C212E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C212EA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C212EA" w:rsidRPr="00C212EA" w:rsidRDefault="00C212EA" w:rsidP="00C212E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C212EA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C212EA" w:rsidRPr="00C212EA" w:rsidRDefault="00C212EA" w:rsidP="00C212EA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C212EA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CD3665" w:rsidRDefault="00CD36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AFB8936E"/>
    <w:lvl w:ilvl="0" w:tplc="5BEE4CC2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12C2178E"/>
    <w:lvl w:ilvl="0" w:tplc="DFEAA16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18D2"/>
    <w:rsid w:val="00111985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6C2B"/>
    <w:rsid w:val="005A5013"/>
    <w:rsid w:val="005C3627"/>
    <w:rsid w:val="00664D2F"/>
    <w:rsid w:val="006B51E7"/>
    <w:rsid w:val="00736B31"/>
    <w:rsid w:val="00747C6F"/>
    <w:rsid w:val="00841ABE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E6092"/>
    <w:rsid w:val="00C212EA"/>
    <w:rsid w:val="00CB6204"/>
    <w:rsid w:val="00CC527A"/>
    <w:rsid w:val="00CD3665"/>
    <w:rsid w:val="00CF18D2"/>
    <w:rsid w:val="00DD482A"/>
    <w:rsid w:val="00DE0405"/>
    <w:rsid w:val="00DE252B"/>
    <w:rsid w:val="00E20E2F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748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2010-01-07T08:39:00Z</cp:lastPrinted>
  <dcterms:created xsi:type="dcterms:W3CDTF">2012-10-24T07:59:00Z</dcterms:created>
  <dcterms:modified xsi:type="dcterms:W3CDTF">2012-10-24T07:59:00Z</dcterms:modified>
</cp:coreProperties>
</file>